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9"/>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附件三：</w:t>
      </w:r>
    </w:p>
    <w:p>
      <w:pPr>
        <w:pStyle w:val="3"/>
        <w:rPr>
          <w:rFonts w:hint="eastAsia" w:ascii="宋体" w:hAnsi="宋体" w:eastAsia="宋体" w:cs="宋体"/>
          <w:kern w:val="0"/>
          <w:sz w:val="22"/>
          <w:szCs w:val="22"/>
          <w:highlight w:val="none"/>
          <w:lang w:eastAsia="zh-CN" w:bidi="ar"/>
        </w:rPr>
      </w:pPr>
      <w:r>
        <w:rPr>
          <w:rFonts w:hint="eastAsia"/>
          <w:highlight w:val="none"/>
          <w:lang w:eastAsia="zh-CN"/>
        </w:rPr>
        <w:t>投标人</w:t>
      </w:r>
      <w:r>
        <w:rPr>
          <w:rFonts w:hint="eastAsia"/>
          <w:highlight w:val="none"/>
        </w:rPr>
        <w:t>资格</w:t>
      </w:r>
      <w:r>
        <w:rPr>
          <w:rFonts w:hint="eastAsia"/>
          <w:highlight w:val="none"/>
          <w:lang w:val="en-US" w:eastAsia="zh-CN"/>
        </w:rPr>
        <w:t>预审</w:t>
      </w:r>
      <w:r>
        <w:rPr>
          <w:rFonts w:hint="eastAsia"/>
          <w:highlight w:val="none"/>
          <w:lang w:eastAsia="zh-CN"/>
        </w:rPr>
        <w:t>表</w:t>
      </w:r>
    </w:p>
    <w:tbl>
      <w:tblPr>
        <w:tblStyle w:val="9"/>
        <w:tblW w:w="140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564"/>
        <w:gridCol w:w="3711"/>
        <w:gridCol w:w="5563"/>
        <w:gridCol w:w="1541"/>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trPr>
        <w:tc>
          <w:tcPr>
            <w:tcW w:w="908" w:type="dxa"/>
            <w:noWrap w:val="0"/>
            <w:vAlign w:val="center"/>
          </w:tcPr>
          <w:p>
            <w:pPr>
              <w:pStyle w:val="12"/>
              <w:spacing w:before="46" w:line="274" w:lineRule="exact"/>
              <w:ind w:left="102" w:right="102"/>
              <w:jc w:val="center"/>
              <w:rPr>
                <w:rFonts w:hint="eastAsia"/>
                <w:sz w:val="21"/>
                <w:szCs w:val="21"/>
                <w:highlight w:val="none"/>
                <w:lang w:eastAsia="zh-CN"/>
              </w:rPr>
            </w:pPr>
            <w:r>
              <w:rPr>
                <w:rFonts w:hint="eastAsia"/>
                <w:sz w:val="21"/>
                <w:szCs w:val="21"/>
                <w:highlight w:val="none"/>
                <w:lang w:eastAsia="zh-CN"/>
              </w:rPr>
              <w:t>序号</w:t>
            </w:r>
          </w:p>
        </w:tc>
        <w:tc>
          <w:tcPr>
            <w:tcW w:w="4275" w:type="dxa"/>
            <w:gridSpan w:val="2"/>
            <w:noWrap w:val="0"/>
            <w:vAlign w:val="center"/>
          </w:tcPr>
          <w:p>
            <w:pPr>
              <w:pStyle w:val="12"/>
              <w:ind w:left="1"/>
              <w:jc w:val="center"/>
              <w:rPr>
                <w:rFonts w:hint="eastAsia"/>
                <w:sz w:val="21"/>
                <w:szCs w:val="21"/>
                <w:highlight w:val="none"/>
                <w:lang w:eastAsia="zh-CN"/>
              </w:rPr>
            </w:pPr>
            <w:r>
              <w:rPr>
                <w:rFonts w:hint="eastAsia"/>
                <w:sz w:val="21"/>
                <w:szCs w:val="21"/>
                <w:highlight w:val="none"/>
                <w:lang w:eastAsia="zh-CN"/>
              </w:rPr>
              <w:t>审查项目</w:t>
            </w:r>
          </w:p>
        </w:tc>
        <w:tc>
          <w:tcPr>
            <w:tcW w:w="5563" w:type="dxa"/>
            <w:noWrap w:val="0"/>
            <w:vAlign w:val="center"/>
          </w:tcPr>
          <w:p>
            <w:pPr>
              <w:pStyle w:val="12"/>
              <w:jc w:val="center"/>
              <w:rPr>
                <w:rFonts w:hint="eastAsia"/>
                <w:sz w:val="21"/>
                <w:szCs w:val="21"/>
                <w:highlight w:val="none"/>
                <w:lang w:eastAsia="zh-CN"/>
              </w:rPr>
            </w:pPr>
            <w:r>
              <w:rPr>
                <w:rFonts w:hint="eastAsia"/>
                <w:sz w:val="21"/>
                <w:szCs w:val="21"/>
                <w:highlight w:val="none"/>
                <w:lang w:eastAsia="zh-CN"/>
              </w:rPr>
              <w:t>需提供的资料</w:t>
            </w:r>
          </w:p>
        </w:tc>
        <w:tc>
          <w:tcPr>
            <w:tcW w:w="1541" w:type="dxa"/>
            <w:noWrap w:val="0"/>
            <w:vAlign w:val="center"/>
          </w:tcPr>
          <w:p>
            <w:pPr>
              <w:pStyle w:val="12"/>
              <w:jc w:val="center"/>
              <w:rPr>
                <w:rFonts w:hint="eastAsia"/>
                <w:sz w:val="21"/>
                <w:szCs w:val="21"/>
                <w:highlight w:val="none"/>
                <w:lang w:eastAsia="zh-CN"/>
              </w:rPr>
            </w:pPr>
            <w:r>
              <w:rPr>
                <w:rFonts w:hint="eastAsia"/>
                <w:sz w:val="21"/>
                <w:szCs w:val="21"/>
                <w:highlight w:val="none"/>
                <w:lang w:eastAsia="zh-CN"/>
              </w:rPr>
              <w:t>是否需提供彩印件</w:t>
            </w:r>
          </w:p>
        </w:tc>
        <w:tc>
          <w:tcPr>
            <w:tcW w:w="1759" w:type="dxa"/>
            <w:noWrap w:val="0"/>
            <w:vAlign w:val="center"/>
          </w:tcPr>
          <w:p>
            <w:pPr>
              <w:pStyle w:val="12"/>
              <w:jc w:val="center"/>
              <w:rPr>
                <w:rFonts w:hint="eastAsia"/>
                <w:sz w:val="21"/>
                <w:szCs w:val="21"/>
                <w:highlight w:val="none"/>
                <w:lang w:eastAsia="zh-CN"/>
              </w:rPr>
            </w:pPr>
            <w:r>
              <w:rPr>
                <w:rFonts w:hint="eastAsia"/>
                <w:sz w:val="21"/>
                <w:szCs w:val="21"/>
                <w:highlight w:val="none"/>
                <w:lang w:eastAsia="zh-CN"/>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08" w:type="dxa"/>
            <w:vMerge w:val="restart"/>
            <w:noWrap w:val="0"/>
            <w:vAlign w:val="center"/>
          </w:tcPr>
          <w:p>
            <w:pPr>
              <w:pStyle w:val="12"/>
              <w:ind w:left="102"/>
              <w:jc w:val="center"/>
              <w:rPr>
                <w:rFonts w:hint="eastAsia"/>
                <w:sz w:val="21"/>
                <w:szCs w:val="21"/>
                <w:highlight w:val="none"/>
                <w:lang w:eastAsia="zh-CN"/>
              </w:rPr>
            </w:pPr>
            <w:r>
              <w:rPr>
                <w:rFonts w:hint="eastAsia"/>
                <w:sz w:val="21"/>
                <w:szCs w:val="21"/>
                <w:highlight w:val="none"/>
                <w:lang w:eastAsia="zh-CN"/>
              </w:rPr>
              <w:t>1</w:t>
            </w:r>
          </w:p>
        </w:tc>
        <w:tc>
          <w:tcPr>
            <w:tcW w:w="564" w:type="dxa"/>
            <w:vMerge w:val="restart"/>
            <w:noWrap w:val="0"/>
            <w:vAlign w:val="center"/>
          </w:tcPr>
          <w:p>
            <w:pPr>
              <w:pStyle w:val="12"/>
              <w:ind w:left="102"/>
              <w:jc w:val="center"/>
              <w:rPr>
                <w:rFonts w:hint="eastAsia"/>
                <w:sz w:val="21"/>
                <w:szCs w:val="21"/>
                <w:highlight w:val="none"/>
                <w:lang w:eastAsia="zh-CN"/>
              </w:rPr>
            </w:pPr>
            <w:r>
              <w:rPr>
                <w:rFonts w:hint="eastAsia"/>
                <w:sz w:val="21"/>
                <w:szCs w:val="21"/>
                <w:highlight w:val="none"/>
                <w:lang w:eastAsia="zh-CN"/>
              </w:rPr>
              <w:t>《中华人民共和国政府采购法》第二十二条的规定</w:t>
            </w:r>
          </w:p>
        </w:tc>
        <w:tc>
          <w:tcPr>
            <w:tcW w:w="3711" w:type="dxa"/>
            <w:noWrap w:val="0"/>
            <w:vAlign w:val="center"/>
          </w:tcPr>
          <w:p>
            <w:pPr>
              <w:pStyle w:val="12"/>
              <w:spacing w:line="320" w:lineRule="exact"/>
              <w:jc w:val="center"/>
              <w:rPr>
                <w:rFonts w:hint="eastAsia"/>
                <w:sz w:val="21"/>
                <w:szCs w:val="21"/>
                <w:highlight w:val="none"/>
                <w:lang w:eastAsia="zh-CN"/>
              </w:rPr>
            </w:pPr>
            <w:r>
              <w:rPr>
                <w:rFonts w:hint="eastAsia"/>
                <w:sz w:val="21"/>
                <w:szCs w:val="21"/>
                <w:highlight w:val="none"/>
                <w:lang w:eastAsia="zh-CN"/>
              </w:rPr>
              <w:t>具有独立承担民事责任的能力</w:t>
            </w:r>
          </w:p>
        </w:tc>
        <w:tc>
          <w:tcPr>
            <w:tcW w:w="5563" w:type="dxa"/>
            <w:noWrap w:val="0"/>
            <w:vAlign w:val="center"/>
          </w:tcPr>
          <w:p>
            <w:pPr>
              <w:pStyle w:val="1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营业执照或事业单位法人证书或个体工商户营业执照等证明文件。</w:t>
            </w:r>
          </w:p>
        </w:tc>
        <w:tc>
          <w:tcPr>
            <w:tcW w:w="1541" w:type="dxa"/>
            <w:noWrap w:val="0"/>
            <w:vAlign w:val="top"/>
          </w:tcPr>
          <w:p>
            <w:pPr>
              <w:pStyle w:val="12"/>
              <w:spacing w:line="297" w:lineRule="exact"/>
              <w:ind w:left="102"/>
              <w:jc w:val="center"/>
              <w:rPr>
                <w:rFonts w:hint="eastAsia"/>
                <w:sz w:val="21"/>
                <w:szCs w:val="21"/>
                <w:highlight w:val="none"/>
                <w:lang w:eastAsia="zh-CN"/>
              </w:rPr>
            </w:pPr>
          </w:p>
        </w:tc>
        <w:tc>
          <w:tcPr>
            <w:tcW w:w="1759" w:type="dxa"/>
            <w:noWrap w:val="0"/>
            <w:vAlign w:val="top"/>
          </w:tcPr>
          <w:p>
            <w:pPr>
              <w:pStyle w:val="12"/>
              <w:spacing w:line="297" w:lineRule="exact"/>
              <w:ind w:left="102"/>
              <w:jc w:val="center"/>
              <w:rPr>
                <w:rFonts w:hint="eastAsia"/>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08" w:type="dxa"/>
            <w:vMerge w:val="continue"/>
            <w:noWrap w:val="0"/>
            <w:vAlign w:val="top"/>
          </w:tcPr>
          <w:p>
            <w:pPr>
              <w:jc w:val="center"/>
              <w:rPr>
                <w:rFonts w:hint="eastAsia" w:cs="宋体"/>
                <w:sz w:val="21"/>
                <w:szCs w:val="21"/>
                <w:highlight w:val="none"/>
              </w:rPr>
            </w:pPr>
          </w:p>
        </w:tc>
        <w:tc>
          <w:tcPr>
            <w:tcW w:w="564" w:type="dxa"/>
            <w:vMerge w:val="continue"/>
            <w:noWrap w:val="0"/>
            <w:vAlign w:val="top"/>
          </w:tcPr>
          <w:p>
            <w:pPr>
              <w:jc w:val="center"/>
              <w:rPr>
                <w:rFonts w:hint="eastAsia" w:cs="宋体"/>
                <w:sz w:val="21"/>
                <w:szCs w:val="21"/>
                <w:highlight w:val="none"/>
              </w:rPr>
            </w:pPr>
          </w:p>
        </w:tc>
        <w:tc>
          <w:tcPr>
            <w:tcW w:w="3711" w:type="dxa"/>
            <w:vMerge w:val="restart"/>
            <w:noWrap w:val="0"/>
            <w:vAlign w:val="center"/>
          </w:tcPr>
          <w:p>
            <w:pPr>
              <w:pStyle w:val="12"/>
              <w:spacing w:line="320" w:lineRule="exact"/>
              <w:jc w:val="center"/>
              <w:rPr>
                <w:rFonts w:hint="eastAsia"/>
                <w:sz w:val="21"/>
                <w:szCs w:val="21"/>
                <w:highlight w:val="none"/>
                <w:lang w:eastAsia="zh-CN"/>
              </w:rPr>
            </w:pPr>
            <w:r>
              <w:rPr>
                <w:rFonts w:hint="eastAsia"/>
                <w:sz w:val="21"/>
                <w:szCs w:val="21"/>
                <w:highlight w:val="none"/>
                <w:lang w:eastAsia="zh-CN"/>
              </w:rPr>
              <w:t>具有良好的商业信誉和健全的财务会计制度</w:t>
            </w:r>
          </w:p>
        </w:tc>
        <w:tc>
          <w:tcPr>
            <w:tcW w:w="5563" w:type="dxa"/>
            <w:noWrap w:val="0"/>
            <w:vAlign w:val="top"/>
          </w:tcPr>
          <w:p>
            <w:pPr>
              <w:pStyle w:val="1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1、近三年任意两年度财务审计报告或银行出具的资信证明或提供财政部门认可的政府采购专业担保机构出具的投标担保函</w:t>
            </w:r>
            <w:r>
              <w:rPr>
                <w:rFonts w:hint="eastAsia" w:ascii="宋体" w:hAnsi="宋体" w:eastAsia="宋体" w:cs="宋体"/>
                <w:color w:val="auto"/>
                <w:sz w:val="21"/>
                <w:szCs w:val="21"/>
                <w:highlight w:val="none"/>
                <w:lang w:eastAsia="zh-CN"/>
              </w:rPr>
              <w:t>；</w:t>
            </w:r>
          </w:p>
        </w:tc>
        <w:tc>
          <w:tcPr>
            <w:tcW w:w="1541" w:type="dxa"/>
            <w:vMerge w:val="restart"/>
            <w:noWrap w:val="0"/>
            <w:vAlign w:val="top"/>
          </w:tcPr>
          <w:p>
            <w:pPr>
              <w:pStyle w:val="12"/>
              <w:spacing w:line="297" w:lineRule="exact"/>
              <w:ind w:left="102"/>
              <w:jc w:val="center"/>
              <w:rPr>
                <w:rFonts w:hint="eastAsia"/>
                <w:sz w:val="21"/>
                <w:szCs w:val="21"/>
                <w:highlight w:val="none"/>
                <w:lang w:eastAsia="zh-CN"/>
              </w:rPr>
            </w:pPr>
          </w:p>
        </w:tc>
        <w:tc>
          <w:tcPr>
            <w:tcW w:w="1759" w:type="dxa"/>
            <w:vMerge w:val="restart"/>
            <w:noWrap w:val="0"/>
            <w:vAlign w:val="top"/>
          </w:tcPr>
          <w:p>
            <w:pPr>
              <w:pStyle w:val="12"/>
              <w:spacing w:line="297" w:lineRule="exact"/>
              <w:ind w:left="102"/>
              <w:jc w:val="center"/>
              <w:rPr>
                <w:rFonts w:hint="eastAsia"/>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908" w:type="dxa"/>
            <w:vMerge w:val="continue"/>
            <w:noWrap w:val="0"/>
            <w:vAlign w:val="top"/>
          </w:tcPr>
          <w:p>
            <w:pPr>
              <w:jc w:val="center"/>
              <w:rPr>
                <w:rFonts w:hint="eastAsia" w:cs="宋体"/>
                <w:sz w:val="21"/>
                <w:szCs w:val="21"/>
                <w:highlight w:val="none"/>
              </w:rPr>
            </w:pPr>
          </w:p>
        </w:tc>
        <w:tc>
          <w:tcPr>
            <w:tcW w:w="564" w:type="dxa"/>
            <w:vMerge w:val="continue"/>
            <w:noWrap w:val="0"/>
            <w:vAlign w:val="top"/>
          </w:tcPr>
          <w:p>
            <w:pPr>
              <w:jc w:val="center"/>
              <w:rPr>
                <w:rFonts w:hint="eastAsia" w:cs="宋体"/>
                <w:sz w:val="21"/>
                <w:szCs w:val="21"/>
                <w:highlight w:val="none"/>
              </w:rPr>
            </w:pPr>
          </w:p>
        </w:tc>
        <w:tc>
          <w:tcPr>
            <w:tcW w:w="3711" w:type="dxa"/>
            <w:vMerge w:val="continue"/>
            <w:noWrap w:val="0"/>
            <w:vAlign w:val="center"/>
          </w:tcPr>
          <w:p>
            <w:pPr>
              <w:pStyle w:val="12"/>
              <w:spacing w:line="320" w:lineRule="exact"/>
              <w:jc w:val="center"/>
              <w:rPr>
                <w:rFonts w:hint="eastAsia"/>
                <w:sz w:val="21"/>
                <w:szCs w:val="21"/>
                <w:highlight w:val="none"/>
                <w:lang w:eastAsia="zh-CN"/>
              </w:rPr>
            </w:pPr>
          </w:p>
        </w:tc>
        <w:tc>
          <w:tcPr>
            <w:tcW w:w="5563" w:type="dxa"/>
            <w:noWrap w:val="0"/>
            <w:vAlign w:val="top"/>
          </w:tcPr>
          <w:p>
            <w:pPr>
              <w:pStyle w:val="1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2、无法按照第1条财务审计报告的，提交银行资金存款证明。</w:t>
            </w:r>
          </w:p>
        </w:tc>
        <w:tc>
          <w:tcPr>
            <w:tcW w:w="1541" w:type="dxa"/>
            <w:vMerge w:val="continue"/>
            <w:noWrap w:val="0"/>
            <w:vAlign w:val="top"/>
          </w:tcPr>
          <w:p>
            <w:pPr>
              <w:pStyle w:val="12"/>
              <w:spacing w:line="297" w:lineRule="exact"/>
              <w:ind w:left="102"/>
              <w:jc w:val="center"/>
              <w:rPr>
                <w:rFonts w:hint="eastAsia"/>
                <w:sz w:val="21"/>
                <w:szCs w:val="21"/>
                <w:highlight w:val="none"/>
                <w:lang w:eastAsia="zh-CN"/>
              </w:rPr>
            </w:pPr>
          </w:p>
        </w:tc>
        <w:tc>
          <w:tcPr>
            <w:tcW w:w="1759" w:type="dxa"/>
            <w:vMerge w:val="continue"/>
            <w:noWrap w:val="0"/>
            <w:vAlign w:val="top"/>
          </w:tcPr>
          <w:p>
            <w:pPr>
              <w:pStyle w:val="12"/>
              <w:spacing w:line="297" w:lineRule="exact"/>
              <w:ind w:left="102"/>
              <w:jc w:val="center"/>
              <w:rPr>
                <w:rFonts w:hint="eastAsia"/>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908" w:type="dxa"/>
            <w:vMerge w:val="continue"/>
            <w:noWrap w:val="0"/>
            <w:vAlign w:val="top"/>
          </w:tcPr>
          <w:p>
            <w:pPr>
              <w:jc w:val="center"/>
              <w:rPr>
                <w:rFonts w:hint="eastAsia" w:cs="宋体"/>
                <w:sz w:val="21"/>
                <w:szCs w:val="21"/>
                <w:highlight w:val="none"/>
              </w:rPr>
            </w:pPr>
          </w:p>
        </w:tc>
        <w:tc>
          <w:tcPr>
            <w:tcW w:w="564" w:type="dxa"/>
            <w:vMerge w:val="continue"/>
            <w:noWrap w:val="0"/>
            <w:vAlign w:val="top"/>
          </w:tcPr>
          <w:p>
            <w:pPr>
              <w:jc w:val="center"/>
              <w:rPr>
                <w:rFonts w:hint="eastAsia" w:cs="宋体"/>
                <w:sz w:val="21"/>
                <w:szCs w:val="21"/>
                <w:highlight w:val="none"/>
              </w:rPr>
            </w:pPr>
          </w:p>
        </w:tc>
        <w:tc>
          <w:tcPr>
            <w:tcW w:w="3711" w:type="dxa"/>
            <w:vMerge w:val="continue"/>
            <w:noWrap w:val="0"/>
            <w:vAlign w:val="center"/>
          </w:tcPr>
          <w:p>
            <w:pPr>
              <w:pStyle w:val="12"/>
              <w:spacing w:line="320" w:lineRule="exact"/>
              <w:jc w:val="center"/>
              <w:rPr>
                <w:rFonts w:hint="eastAsia"/>
                <w:sz w:val="21"/>
                <w:szCs w:val="21"/>
                <w:highlight w:val="none"/>
                <w:lang w:eastAsia="zh-CN"/>
              </w:rPr>
            </w:pPr>
          </w:p>
        </w:tc>
        <w:tc>
          <w:tcPr>
            <w:tcW w:w="5563" w:type="dxa"/>
            <w:noWrap w:val="0"/>
            <w:vAlign w:val="top"/>
          </w:tcPr>
          <w:p>
            <w:pPr>
              <w:pStyle w:val="1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3、专业担保机构对</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进行资信审查后出具投标担保函的，可以不用提供经审计的财务报告和银行资信证明文件。</w:t>
            </w:r>
          </w:p>
        </w:tc>
        <w:tc>
          <w:tcPr>
            <w:tcW w:w="1541" w:type="dxa"/>
            <w:vMerge w:val="continue"/>
            <w:noWrap w:val="0"/>
            <w:vAlign w:val="top"/>
          </w:tcPr>
          <w:p>
            <w:pPr>
              <w:pStyle w:val="12"/>
              <w:spacing w:line="297" w:lineRule="exact"/>
              <w:ind w:left="102"/>
              <w:jc w:val="center"/>
              <w:rPr>
                <w:rFonts w:hint="eastAsia"/>
                <w:sz w:val="21"/>
                <w:szCs w:val="21"/>
                <w:highlight w:val="none"/>
                <w:lang w:eastAsia="zh-CN"/>
              </w:rPr>
            </w:pPr>
          </w:p>
        </w:tc>
        <w:tc>
          <w:tcPr>
            <w:tcW w:w="1759" w:type="dxa"/>
            <w:vMerge w:val="continue"/>
            <w:noWrap w:val="0"/>
            <w:vAlign w:val="top"/>
          </w:tcPr>
          <w:p>
            <w:pPr>
              <w:pStyle w:val="12"/>
              <w:spacing w:line="297" w:lineRule="exact"/>
              <w:ind w:left="102"/>
              <w:jc w:val="center"/>
              <w:rPr>
                <w:rFonts w:hint="eastAsia"/>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08" w:type="dxa"/>
            <w:vMerge w:val="continue"/>
            <w:noWrap w:val="0"/>
            <w:vAlign w:val="top"/>
          </w:tcPr>
          <w:p>
            <w:pPr>
              <w:jc w:val="center"/>
              <w:rPr>
                <w:rFonts w:hint="eastAsia" w:cs="宋体"/>
                <w:sz w:val="21"/>
                <w:szCs w:val="21"/>
                <w:highlight w:val="none"/>
              </w:rPr>
            </w:pPr>
          </w:p>
        </w:tc>
        <w:tc>
          <w:tcPr>
            <w:tcW w:w="564" w:type="dxa"/>
            <w:vMerge w:val="continue"/>
            <w:noWrap w:val="0"/>
            <w:vAlign w:val="top"/>
          </w:tcPr>
          <w:p>
            <w:pPr>
              <w:jc w:val="center"/>
              <w:rPr>
                <w:rFonts w:hint="eastAsia" w:cs="宋体"/>
                <w:sz w:val="21"/>
                <w:szCs w:val="21"/>
                <w:highlight w:val="none"/>
              </w:rPr>
            </w:pPr>
          </w:p>
        </w:tc>
        <w:tc>
          <w:tcPr>
            <w:tcW w:w="3711" w:type="dxa"/>
            <w:vMerge w:val="continue"/>
            <w:noWrap w:val="0"/>
            <w:vAlign w:val="center"/>
          </w:tcPr>
          <w:p>
            <w:pPr>
              <w:pStyle w:val="12"/>
              <w:spacing w:line="320" w:lineRule="exact"/>
              <w:jc w:val="center"/>
              <w:rPr>
                <w:rFonts w:hint="eastAsia"/>
                <w:sz w:val="21"/>
                <w:szCs w:val="21"/>
                <w:highlight w:val="none"/>
                <w:lang w:eastAsia="zh-CN"/>
              </w:rPr>
            </w:pPr>
          </w:p>
        </w:tc>
        <w:tc>
          <w:tcPr>
            <w:tcW w:w="5563" w:type="dxa"/>
            <w:noWrap w:val="0"/>
            <w:vAlign w:val="top"/>
          </w:tcPr>
          <w:p>
            <w:pPr>
              <w:pStyle w:val="1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4、政府部门所属机构（如科研院所）参加投标的，按政府部门要求提供相关财务状况证明材料。</w:t>
            </w:r>
          </w:p>
        </w:tc>
        <w:tc>
          <w:tcPr>
            <w:tcW w:w="1541" w:type="dxa"/>
            <w:vMerge w:val="continue"/>
            <w:noWrap w:val="0"/>
            <w:vAlign w:val="top"/>
          </w:tcPr>
          <w:p>
            <w:pPr>
              <w:pStyle w:val="12"/>
              <w:spacing w:line="297" w:lineRule="exact"/>
              <w:ind w:left="102"/>
              <w:jc w:val="center"/>
              <w:rPr>
                <w:rFonts w:hint="eastAsia"/>
                <w:sz w:val="21"/>
                <w:szCs w:val="21"/>
                <w:highlight w:val="none"/>
                <w:lang w:eastAsia="zh-CN"/>
              </w:rPr>
            </w:pPr>
          </w:p>
        </w:tc>
        <w:tc>
          <w:tcPr>
            <w:tcW w:w="1759" w:type="dxa"/>
            <w:vMerge w:val="continue"/>
            <w:noWrap w:val="0"/>
            <w:vAlign w:val="top"/>
          </w:tcPr>
          <w:p>
            <w:pPr>
              <w:pStyle w:val="12"/>
              <w:spacing w:line="297" w:lineRule="exact"/>
              <w:ind w:left="102"/>
              <w:jc w:val="center"/>
              <w:rPr>
                <w:rFonts w:hint="eastAsia"/>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08" w:type="dxa"/>
            <w:vMerge w:val="continue"/>
            <w:noWrap w:val="0"/>
            <w:vAlign w:val="top"/>
          </w:tcPr>
          <w:p>
            <w:pPr>
              <w:jc w:val="center"/>
              <w:rPr>
                <w:rFonts w:hint="eastAsia" w:cs="宋体"/>
                <w:sz w:val="21"/>
                <w:szCs w:val="21"/>
                <w:highlight w:val="none"/>
              </w:rPr>
            </w:pPr>
          </w:p>
        </w:tc>
        <w:tc>
          <w:tcPr>
            <w:tcW w:w="564" w:type="dxa"/>
            <w:vMerge w:val="continue"/>
            <w:noWrap w:val="0"/>
            <w:vAlign w:val="top"/>
          </w:tcPr>
          <w:p>
            <w:pPr>
              <w:jc w:val="center"/>
              <w:rPr>
                <w:rFonts w:hint="eastAsia" w:cs="宋体"/>
                <w:sz w:val="21"/>
                <w:szCs w:val="21"/>
                <w:highlight w:val="none"/>
              </w:rPr>
            </w:pPr>
          </w:p>
        </w:tc>
        <w:tc>
          <w:tcPr>
            <w:tcW w:w="3711" w:type="dxa"/>
            <w:vMerge w:val="restart"/>
            <w:noWrap w:val="0"/>
            <w:vAlign w:val="center"/>
          </w:tcPr>
          <w:p>
            <w:pPr>
              <w:pStyle w:val="12"/>
              <w:spacing w:line="320" w:lineRule="exact"/>
              <w:jc w:val="center"/>
              <w:rPr>
                <w:rFonts w:hint="eastAsia"/>
                <w:sz w:val="21"/>
                <w:szCs w:val="21"/>
                <w:highlight w:val="none"/>
                <w:lang w:eastAsia="zh-CN"/>
              </w:rPr>
            </w:pPr>
            <w:r>
              <w:rPr>
                <w:rFonts w:hint="eastAsia"/>
                <w:sz w:val="21"/>
                <w:szCs w:val="21"/>
                <w:highlight w:val="none"/>
                <w:lang w:eastAsia="zh-CN"/>
              </w:rPr>
              <w:t>有依法缴纳税收和社会保障资金的良好记录</w:t>
            </w:r>
          </w:p>
        </w:tc>
        <w:tc>
          <w:tcPr>
            <w:tcW w:w="5563" w:type="dxa"/>
            <w:noWrap w:val="0"/>
            <w:vAlign w:val="top"/>
          </w:tcPr>
          <w:p>
            <w:pPr>
              <w:autoSpaceDE w:val="0"/>
              <w:autoSpaceDN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投标人财务状况良好，提供经审计的财务报告及近三个月的缴纳税收完税证明及社保证</w:t>
            </w:r>
            <w:r>
              <w:rPr>
                <w:rFonts w:hint="eastAsia" w:ascii="宋体" w:hAnsi="宋体" w:eastAsia="宋体" w:cs="宋体"/>
                <w:sz w:val="21"/>
                <w:szCs w:val="21"/>
                <w:highlight w:val="none"/>
                <w:lang w:eastAsia="zh-CN"/>
              </w:rPr>
              <w:t>明</w:t>
            </w:r>
          </w:p>
        </w:tc>
        <w:tc>
          <w:tcPr>
            <w:tcW w:w="1541" w:type="dxa"/>
            <w:vMerge w:val="restart"/>
            <w:noWrap w:val="0"/>
            <w:vAlign w:val="top"/>
          </w:tcPr>
          <w:p>
            <w:pPr>
              <w:pStyle w:val="12"/>
              <w:spacing w:line="297" w:lineRule="exact"/>
              <w:ind w:left="102"/>
              <w:jc w:val="center"/>
              <w:rPr>
                <w:rFonts w:hint="eastAsia"/>
                <w:sz w:val="21"/>
                <w:szCs w:val="21"/>
                <w:highlight w:val="none"/>
                <w:lang w:eastAsia="zh-CN"/>
              </w:rPr>
            </w:pPr>
          </w:p>
        </w:tc>
        <w:tc>
          <w:tcPr>
            <w:tcW w:w="1759" w:type="dxa"/>
            <w:vMerge w:val="restart"/>
            <w:noWrap w:val="0"/>
            <w:vAlign w:val="top"/>
          </w:tcPr>
          <w:p>
            <w:pPr>
              <w:pStyle w:val="12"/>
              <w:spacing w:line="297" w:lineRule="exact"/>
              <w:ind w:left="102"/>
              <w:jc w:val="center"/>
              <w:rPr>
                <w:rFonts w:hint="eastAsia"/>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908" w:type="dxa"/>
            <w:vMerge w:val="continue"/>
            <w:noWrap w:val="0"/>
            <w:vAlign w:val="top"/>
          </w:tcPr>
          <w:p>
            <w:pPr>
              <w:jc w:val="center"/>
              <w:rPr>
                <w:rFonts w:hint="eastAsia" w:cs="宋体"/>
                <w:sz w:val="21"/>
                <w:szCs w:val="21"/>
                <w:highlight w:val="none"/>
              </w:rPr>
            </w:pPr>
          </w:p>
        </w:tc>
        <w:tc>
          <w:tcPr>
            <w:tcW w:w="564" w:type="dxa"/>
            <w:vMerge w:val="continue"/>
            <w:noWrap w:val="0"/>
            <w:vAlign w:val="top"/>
          </w:tcPr>
          <w:p>
            <w:pPr>
              <w:jc w:val="center"/>
              <w:rPr>
                <w:rFonts w:hint="eastAsia" w:cs="宋体"/>
                <w:sz w:val="21"/>
                <w:szCs w:val="21"/>
                <w:highlight w:val="none"/>
              </w:rPr>
            </w:pPr>
          </w:p>
        </w:tc>
        <w:tc>
          <w:tcPr>
            <w:tcW w:w="3711" w:type="dxa"/>
            <w:vMerge w:val="continue"/>
            <w:noWrap w:val="0"/>
            <w:vAlign w:val="center"/>
          </w:tcPr>
          <w:p>
            <w:pPr>
              <w:pStyle w:val="12"/>
              <w:spacing w:line="320" w:lineRule="exact"/>
              <w:jc w:val="center"/>
              <w:rPr>
                <w:rFonts w:hint="eastAsia"/>
                <w:sz w:val="21"/>
                <w:szCs w:val="21"/>
                <w:highlight w:val="none"/>
                <w:lang w:eastAsia="zh-CN"/>
              </w:rPr>
            </w:pPr>
          </w:p>
        </w:tc>
        <w:tc>
          <w:tcPr>
            <w:tcW w:w="5563" w:type="dxa"/>
            <w:noWrap w:val="0"/>
            <w:vAlign w:val="top"/>
          </w:tcPr>
          <w:p>
            <w:pPr>
              <w:autoSpaceDE w:val="0"/>
              <w:autoSpaceDN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依法免税或不需要交纳社会保障资金的</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，应提供相应文件证明其依法免税或不需要交纳社会保障资金。</w:t>
            </w:r>
          </w:p>
        </w:tc>
        <w:tc>
          <w:tcPr>
            <w:tcW w:w="1541" w:type="dxa"/>
            <w:vMerge w:val="continue"/>
            <w:noWrap w:val="0"/>
            <w:vAlign w:val="top"/>
          </w:tcPr>
          <w:p>
            <w:pPr>
              <w:pStyle w:val="12"/>
              <w:spacing w:line="297" w:lineRule="exact"/>
              <w:ind w:left="102"/>
              <w:jc w:val="center"/>
              <w:rPr>
                <w:rFonts w:hint="eastAsia"/>
                <w:sz w:val="21"/>
                <w:szCs w:val="21"/>
                <w:highlight w:val="none"/>
                <w:lang w:eastAsia="zh-CN"/>
              </w:rPr>
            </w:pPr>
          </w:p>
        </w:tc>
        <w:tc>
          <w:tcPr>
            <w:tcW w:w="1759" w:type="dxa"/>
            <w:vMerge w:val="continue"/>
            <w:noWrap w:val="0"/>
            <w:vAlign w:val="top"/>
          </w:tcPr>
          <w:p>
            <w:pPr>
              <w:pStyle w:val="12"/>
              <w:spacing w:line="297" w:lineRule="exact"/>
              <w:ind w:left="102"/>
              <w:jc w:val="center"/>
              <w:rPr>
                <w:rFonts w:hint="eastAsia"/>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8" w:type="dxa"/>
            <w:vMerge w:val="continue"/>
            <w:noWrap w:val="0"/>
            <w:vAlign w:val="top"/>
          </w:tcPr>
          <w:p>
            <w:pPr>
              <w:jc w:val="center"/>
              <w:rPr>
                <w:rFonts w:hint="eastAsia" w:cs="宋体"/>
                <w:sz w:val="21"/>
                <w:szCs w:val="21"/>
                <w:highlight w:val="none"/>
              </w:rPr>
            </w:pPr>
          </w:p>
        </w:tc>
        <w:tc>
          <w:tcPr>
            <w:tcW w:w="564" w:type="dxa"/>
            <w:vMerge w:val="continue"/>
            <w:noWrap w:val="0"/>
            <w:vAlign w:val="top"/>
          </w:tcPr>
          <w:p>
            <w:pPr>
              <w:jc w:val="center"/>
              <w:rPr>
                <w:rFonts w:hint="eastAsia" w:cs="宋体"/>
                <w:sz w:val="21"/>
                <w:szCs w:val="21"/>
                <w:highlight w:val="none"/>
              </w:rPr>
            </w:pPr>
          </w:p>
        </w:tc>
        <w:tc>
          <w:tcPr>
            <w:tcW w:w="3711" w:type="dxa"/>
            <w:noWrap w:val="0"/>
            <w:vAlign w:val="top"/>
          </w:tcPr>
          <w:p>
            <w:pPr>
              <w:pStyle w:val="12"/>
              <w:spacing w:line="320" w:lineRule="exact"/>
              <w:jc w:val="center"/>
              <w:rPr>
                <w:rFonts w:hint="eastAsia"/>
                <w:sz w:val="21"/>
                <w:szCs w:val="21"/>
                <w:highlight w:val="none"/>
                <w:lang w:eastAsia="zh-CN"/>
              </w:rPr>
            </w:pPr>
            <w:r>
              <w:rPr>
                <w:rFonts w:hint="eastAsia"/>
                <w:sz w:val="21"/>
                <w:szCs w:val="21"/>
                <w:highlight w:val="none"/>
                <w:lang w:eastAsia="zh-CN"/>
              </w:rPr>
              <w:t>具备履行合同所必须的设备和专业技术能力</w:t>
            </w:r>
          </w:p>
        </w:tc>
        <w:tc>
          <w:tcPr>
            <w:tcW w:w="5563" w:type="dxa"/>
            <w:noWrap w:val="0"/>
            <w:vAlign w:val="top"/>
          </w:tcPr>
          <w:p>
            <w:pPr>
              <w:pStyle w:val="12"/>
              <w:spacing w:line="297"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提供相关证明材料</w:t>
            </w:r>
          </w:p>
        </w:tc>
        <w:tc>
          <w:tcPr>
            <w:tcW w:w="1541" w:type="dxa"/>
            <w:noWrap w:val="0"/>
            <w:vAlign w:val="top"/>
          </w:tcPr>
          <w:p>
            <w:pPr>
              <w:pStyle w:val="12"/>
              <w:spacing w:line="297" w:lineRule="exact"/>
              <w:ind w:left="102"/>
              <w:jc w:val="center"/>
              <w:rPr>
                <w:rFonts w:hint="eastAsia"/>
                <w:sz w:val="21"/>
                <w:szCs w:val="21"/>
                <w:highlight w:val="none"/>
                <w:lang w:eastAsia="zh-CN"/>
              </w:rPr>
            </w:pPr>
          </w:p>
        </w:tc>
        <w:tc>
          <w:tcPr>
            <w:tcW w:w="1759" w:type="dxa"/>
            <w:noWrap w:val="0"/>
            <w:vAlign w:val="top"/>
          </w:tcPr>
          <w:p>
            <w:pPr>
              <w:pStyle w:val="12"/>
              <w:spacing w:line="297" w:lineRule="exact"/>
              <w:ind w:left="102"/>
              <w:jc w:val="center"/>
              <w:rPr>
                <w:rFonts w:hint="eastAsia"/>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trPr>
        <w:tc>
          <w:tcPr>
            <w:tcW w:w="908" w:type="dxa"/>
            <w:vMerge w:val="continue"/>
            <w:noWrap w:val="0"/>
            <w:vAlign w:val="top"/>
          </w:tcPr>
          <w:p>
            <w:pPr>
              <w:jc w:val="center"/>
              <w:rPr>
                <w:rFonts w:hint="eastAsia" w:cs="宋体"/>
                <w:sz w:val="21"/>
                <w:szCs w:val="21"/>
                <w:highlight w:val="none"/>
              </w:rPr>
            </w:pPr>
          </w:p>
        </w:tc>
        <w:tc>
          <w:tcPr>
            <w:tcW w:w="564" w:type="dxa"/>
            <w:vMerge w:val="continue"/>
            <w:noWrap w:val="0"/>
            <w:vAlign w:val="top"/>
          </w:tcPr>
          <w:p>
            <w:pPr>
              <w:jc w:val="center"/>
              <w:rPr>
                <w:rFonts w:hint="eastAsia" w:cs="宋体"/>
                <w:sz w:val="21"/>
                <w:szCs w:val="21"/>
                <w:highlight w:val="none"/>
              </w:rPr>
            </w:pPr>
          </w:p>
        </w:tc>
        <w:tc>
          <w:tcPr>
            <w:tcW w:w="3711" w:type="dxa"/>
            <w:noWrap w:val="0"/>
            <w:vAlign w:val="center"/>
          </w:tcPr>
          <w:p>
            <w:pPr>
              <w:pStyle w:val="12"/>
              <w:spacing w:line="320" w:lineRule="exact"/>
              <w:jc w:val="center"/>
              <w:rPr>
                <w:rFonts w:hint="eastAsia"/>
                <w:sz w:val="21"/>
                <w:szCs w:val="21"/>
                <w:highlight w:val="none"/>
                <w:lang w:eastAsia="zh-CN"/>
              </w:rPr>
            </w:pPr>
            <w:r>
              <w:rPr>
                <w:rFonts w:hint="eastAsia"/>
                <w:sz w:val="21"/>
                <w:szCs w:val="21"/>
                <w:highlight w:val="none"/>
                <w:lang w:eastAsia="zh-CN"/>
              </w:rPr>
              <w:t>参加政府采购活动前三年内，在经营活动中没有重大违法记录</w:t>
            </w:r>
          </w:p>
        </w:tc>
        <w:tc>
          <w:tcPr>
            <w:tcW w:w="5563" w:type="dxa"/>
            <w:noWrap w:val="0"/>
            <w:vAlign w:val="center"/>
          </w:tcPr>
          <w:p>
            <w:pPr>
              <w:pStyle w:val="12"/>
              <w:spacing w:line="272" w:lineRule="exact"/>
              <w:ind w:left="102" w:right="10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参加政府采购活动前三年内在经营活动中没有重大违法记录的书面声明（格式见本投标文件第六章）。</w:t>
            </w:r>
          </w:p>
        </w:tc>
        <w:tc>
          <w:tcPr>
            <w:tcW w:w="1541" w:type="dxa"/>
            <w:noWrap w:val="0"/>
            <w:vAlign w:val="top"/>
          </w:tcPr>
          <w:p>
            <w:pPr>
              <w:pStyle w:val="12"/>
              <w:spacing w:line="272" w:lineRule="exact"/>
              <w:ind w:left="102" w:right="100"/>
              <w:jc w:val="center"/>
              <w:rPr>
                <w:rFonts w:hint="eastAsia"/>
                <w:sz w:val="21"/>
                <w:szCs w:val="21"/>
                <w:highlight w:val="none"/>
                <w:lang w:eastAsia="zh-CN"/>
              </w:rPr>
            </w:pPr>
          </w:p>
        </w:tc>
        <w:tc>
          <w:tcPr>
            <w:tcW w:w="1759" w:type="dxa"/>
            <w:noWrap w:val="0"/>
            <w:vAlign w:val="top"/>
          </w:tcPr>
          <w:p>
            <w:pPr>
              <w:pStyle w:val="12"/>
              <w:spacing w:line="272" w:lineRule="exact"/>
              <w:ind w:left="102" w:right="100"/>
              <w:jc w:val="center"/>
              <w:rPr>
                <w:rFonts w:hint="eastAsia"/>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908" w:type="dxa"/>
            <w:vMerge w:val="continue"/>
            <w:noWrap w:val="0"/>
            <w:vAlign w:val="top"/>
          </w:tcPr>
          <w:p>
            <w:pPr>
              <w:jc w:val="center"/>
              <w:rPr>
                <w:rFonts w:hint="eastAsia" w:cs="宋体"/>
                <w:sz w:val="21"/>
                <w:szCs w:val="21"/>
                <w:highlight w:val="none"/>
              </w:rPr>
            </w:pPr>
          </w:p>
        </w:tc>
        <w:tc>
          <w:tcPr>
            <w:tcW w:w="564" w:type="dxa"/>
            <w:vMerge w:val="continue"/>
            <w:noWrap w:val="0"/>
            <w:vAlign w:val="top"/>
          </w:tcPr>
          <w:p>
            <w:pPr>
              <w:jc w:val="center"/>
              <w:rPr>
                <w:rFonts w:hint="eastAsia" w:cs="宋体"/>
                <w:sz w:val="21"/>
                <w:szCs w:val="21"/>
                <w:highlight w:val="none"/>
              </w:rPr>
            </w:pPr>
          </w:p>
        </w:tc>
        <w:tc>
          <w:tcPr>
            <w:tcW w:w="3711" w:type="dxa"/>
            <w:noWrap w:val="0"/>
            <w:vAlign w:val="center"/>
          </w:tcPr>
          <w:p>
            <w:pPr>
              <w:autoSpaceDE w:val="0"/>
              <w:autoSpaceDN w:val="0"/>
              <w:jc w:val="center"/>
              <w:rPr>
                <w:rFonts w:hint="eastAsia" w:eastAsia="宋体" w:cs="宋体"/>
                <w:sz w:val="21"/>
                <w:szCs w:val="21"/>
                <w:highlight w:val="none"/>
                <w:lang w:eastAsia="zh-CN"/>
              </w:rPr>
            </w:pPr>
            <w:r>
              <w:rPr>
                <w:rFonts w:hint="eastAsia" w:cs="宋体"/>
                <w:sz w:val="21"/>
                <w:szCs w:val="21"/>
                <w:highlight w:val="none"/>
              </w:rPr>
              <w:t>法律、行政法规规定的其他条</w:t>
            </w:r>
            <w:r>
              <w:rPr>
                <w:rFonts w:hint="eastAsia" w:cs="宋体"/>
                <w:sz w:val="21"/>
                <w:szCs w:val="21"/>
                <w:highlight w:val="none"/>
                <w:lang w:eastAsia="zh-CN"/>
              </w:rPr>
              <w:t>件</w:t>
            </w:r>
          </w:p>
        </w:tc>
        <w:tc>
          <w:tcPr>
            <w:tcW w:w="5563" w:type="dxa"/>
            <w:noWrap w:val="0"/>
            <w:vAlign w:val="center"/>
          </w:tcPr>
          <w:p>
            <w:pPr>
              <w:autoSpaceDE w:val="0"/>
              <w:autoSpaceDN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无</w:t>
            </w:r>
          </w:p>
        </w:tc>
        <w:tc>
          <w:tcPr>
            <w:tcW w:w="1541" w:type="dxa"/>
            <w:noWrap w:val="0"/>
            <w:vAlign w:val="top"/>
          </w:tcPr>
          <w:p>
            <w:pPr>
              <w:pStyle w:val="12"/>
              <w:spacing w:line="272" w:lineRule="exact"/>
              <w:ind w:left="102" w:right="100"/>
              <w:jc w:val="center"/>
              <w:rPr>
                <w:rFonts w:hint="eastAsia"/>
                <w:sz w:val="21"/>
                <w:szCs w:val="21"/>
                <w:highlight w:val="none"/>
                <w:lang w:eastAsia="zh-CN"/>
              </w:rPr>
            </w:pPr>
          </w:p>
        </w:tc>
        <w:tc>
          <w:tcPr>
            <w:tcW w:w="1759" w:type="dxa"/>
            <w:noWrap w:val="0"/>
            <w:vAlign w:val="top"/>
          </w:tcPr>
          <w:p>
            <w:pPr>
              <w:pStyle w:val="12"/>
              <w:spacing w:line="272" w:lineRule="exact"/>
              <w:ind w:left="102" w:right="100"/>
              <w:jc w:val="center"/>
              <w:rPr>
                <w:rFonts w:hint="eastAsia"/>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exact"/>
        </w:trPr>
        <w:tc>
          <w:tcPr>
            <w:tcW w:w="908" w:type="dxa"/>
            <w:vMerge w:val="restart"/>
            <w:noWrap w:val="0"/>
            <w:vAlign w:val="center"/>
          </w:tcPr>
          <w:p>
            <w:pPr>
              <w:pStyle w:val="12"/>
              <w:ind w:left="102"/>
              <w:jc w:val="center"/>
              <w:rPr>
                <w:rFonts w:hint="eastAsia"/>
                <w:sz w:val="21"/>
                <w:szCs w:val="21"/>
                <w:highlight w:val="none"/>
                <w:lang w:eastAsia="zh-CN"/>
              </w:rPr>
            </w:pPr>
            <w:r>
              <w:rPr>
                <w:rFonts w:hint="eastAsia"/>
                <w:sz w:val="21"/>
                <w:szCs w:val="21"/>
                <w:highlight w:val="none"/>
                <w:lang w:eastAsia="zh-CN"/>
              </w:rPr>
              <w:t>2</w:t>
            </w:r>
          </w:p>
          <w:p>
            <w:pPr>
              <w:pStyle w:val="12"/>
              <w:ind w:left="102"/>
              <w:jc w:val="center"/>
              <w:rPr>
                <w:rFonts w:hint="eastAsia" w:eastAsia="宋体"/>
                <w:sz w:val="21"/>
                <w:szCs w:val="21"/>
                <w:highlight w:val="none"/>
                <w:lang w:eastAsia="zh-CN"/>
              </w:rPr>
            </w:pPr>
          </w:p>
          <w:p>
            <w:pPr>
              <w:pStyle w:val="12"/>
              <w:ind w:left="102"/>
              <w:jc w:val="center"/>
              <w:rPr>
                <w:rFonts w:hint="eastAsia" w:eastAsia="宋体"/>
                <w:sz w:val="21"/>
                <w:szCs w:val="21"/>
                <w:highlight w:val="none"/>
                <w:lang w:eastAsia="zh-CN"/>
              </w:rPr>
            </w:pPr>
          </w:p>
          <w:p>
            <w:pPr>
              <w:jc w:val="center"/>
              <w:rPr>
                <w:rFonts w:hint="eastAsia" w:eastAsia="宋体" w:cs="宋体"/>
                <w:sz w:val="21"/>
                <w:szCs w:val="21"/>
                <w:highlight w:val="none"/>
                <w:lang w:eastAsia="zh-CN"/>
              </w:rPr>
            </w:pPr>
          </w:p>
          <w:p>
            <w:pPr>
              <w:pStyle w:val="4"/>
              <w:jc w:val="center"/>
              <w:outlineLvl w:val="9"/>
              <w:rPr>
                <w:rFonts w:hint="eastAsia"/>
                <w:sz w:val="21"/>
                <w:szCs w:val="21"/>
                <w:lang w:eastAsia="zh-CN"/>
              </w:rPr>
            </w:pPr>
          </w:p>
          <w:p>
            <w:pPr>
              <w:jc w:val="center"/>
              <w:rPr>
                <w:rFonts w:hint="default" w:cs="宋体"/>
                <w:sz w:val="21"/>
                <w:szCs w:val="21"/>
                <w:highlight w:val="none"/>
                <w:lang w:val="en-US" w:eastAsia="zh-CN"/>
              </w:rPr>
            </w:pPr>
          </w:p>
        </w:tc>
        <w:tc>
          <w:tcPr>
            <w:tcW w:w="564" w:type="dxa"/>
            <w:vMerge w:val="restart"/>
            <w:noWrap w:val="0"/>
            <w:vAlign w:val="center"/>
          </w:tcPr>
          <w:p>
            <w:pPr>
              <w:pStyle w:val="12"/>
              <w:spacing w:line="242" w:lineRule="exact"/>
              <w:ind w:left="102"/>
              <w:jc w:val="center"/>
              <w:rPr>
                <w:rFonts w:hint="eastAsia"/>
                <w:sz w:val="21"/>
                <w:szCs w:val="21"/>
                <w:highlight w:val="none"/>
                <w:lang w:eastAsia="zh-CN"/>
              </w:rPr>
            </w:pPr>
            <w:r>
              <w:rPr>
                <w:rFonts w:hint="eastAsia"/>
                <w:sz w:val="21"/>
                <w:szCs w:val="21"/>
                <w:highlight w:val="none"/>
                <w:lang w:eastAsia="zh-CN"/>
              </w:rPr>
              <w:t>其他资格要求</w:t>
            </w:r>
          </w:p>
        </w:tc>
        <w:tc>
          <w:tcPr>
            <w:tcW w:w="3711" w:type="dxa"/>
            <w:noWrap w:val="0"/>
            <w:vAlign w:val="top"/>
          </w:tcPr>
          <w:p>
            <w:pPr>
              <w:pStyle w:val="12"/>
              <w:spacing w:line="320" w:lineRule="exact"/>
              <w:ind w:left="102"/>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投标人未被列入“信用中国”网站</w:t>
            </w:r>
          </w:p>
          <w:p>
            <w:pPr>
              <w:pStyle w:val="12"/>
              <w:spacing w:line="320" w:lineRule="exact"/>
              <w:ind w:left="102"/>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(www.creditchina.gov.cn)失信被执行人、重大税收违法案件当事人、政府采购严重违法失信行为记录名单和“中国政府采购”网站（</w:t>
            </w:r>
            <w:r>
              <w:rPr>
                <w:rFonts w:hint="eastAsia" w:ascii="宋体" w:hAnsi="宋体" w:eastAsia="宋体" w:cs="宋体"/>
                <w:sz w:val="21"/>
                <w:szCs w:val="21"/>
                <w:highlight w:val="none"/>
                <w:lang w:eastAsia="zh-CN"/>
              </w:rPr>
              <w:fldChar w:fldCharType="begin"/>
            </w:r>
            <w:r>
              <w:rPr>
                <w:rFonts w:hint="eastAsia" w:ascii="宋体" w:hAnsi="宋体" w:eastAsia="宋体" w:cs="宋体"/>
                <w:sz w:val="21"/>
                <w:szCs w:val="21"/>
                <w:highlight w:val="none"/>
                <w:lang w:eastAsia="zh-CN"/>
              </w:rPr>
              <w:instrText xml:space="preserve">HYPERLINK "http://www.ccgp.gov.cn/" \h</w:instrText>
            </w:r>
            <w:r>
              <w:rPr>
                <w:rFonts w:hint="eastAsia" w:ascii="宋体" w:hAnsi="宋体" w:eastAsia="宋体" w:cs="宋体"/>
                <w:sz w:val="21"/>
                <w:szCs w:val="21"/>
                <w:highlight w:val="none"/>
                <w:lang w:eastAsia="zh-CN"/>
              </w:rPr>
              <w:fldChar w:fldCharType="separate"/>
            </w:r>
            <w:r>
              <w:rPr>
                <w:rFonts w:hint="eastAsia" w:ascii="宋体" w:hAnsi="宋体" w:eastAsia="宋体" w:cs="宋体"/>
                <w:sz w:val="21"/>
                <w:szCs w:val="21"/>
                <w:highlight w:val="none"/>
                <w:lang w:eastAsia="zh-CN"/>
              </w:rPr>
              <w:t>www.ccgp.gov.cn</w:t>
            </w:r>
            <w:r>
              <w:rPr>
                <w:rFonts w:hint="eastAsia" w:ascii="宋体" w:hAnsi="宋体" w:eastAsia="宋体" w:cs="宋体"/>
                <w:sz w:val="21"/>
                <w:szCs w:val="21"/>
                <w:highlight w:val="none"/>
                <w:lang w:eastAsia="zh-CN"/>
              </w:rPr>
              <w:fldChar w:fldCharType="end"/>
            </w:r>
            <w:r>
              <w:rPr>
                <w:rFonts w:hint="eastAsia" w:ascii="宋体" w:hAnsi="宋体" w:eastAsia="宋体" w:cs="宋体"/>
                <w:sz w:val="21"/>
                <w:szCs w:val="21"/>
                <w:highlight w:val="none"/>
                <w:lang w:eastAsia="zh-CN"/>
              </w:rPr>
              <w:t>）政府采购严重违法失信行为记录名单（以投标截止当日查询结果为准）</w:t>
            </w:r>
          </w:p>
        </w:tc>
        <w:tc>
          <w:tcPr>
            <w:tcW w:w="5563" w:type="dxa"/>
            <w:noWrap w:val="0"/>
            <w:vAlign w:val="center"/>
          </w:tcPr>
          <w:p>
            <w:pPr>
              <w:pStyle w:val="12"/>
              <w:ind w:left="102"/>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提供查询截图，并由资格审查小组现场进行复核</w:t>
            </w:r>
          </w:p>
        </w:tc>
        <w:tc>
          <w:tcPr>
            <w:tcW w:w="1541" w:type="dxa"/>
            <w:noWrap w:val="0"/>
            <w:vAlign w:val="top"/>
          </w:tcPr>
          <w:p>
            <w:pPr>
              <w:jc w:val="center"/>
              <w:rPr>
                <w:rFonts w:hint="eastAsia" w:eastAsia="宋体" w:cs="宋体"/>
                <w:sz w:val="21"/>
                <w:szCs w:val="21"/>
                <w:highlight w:val="none"/>
                <w:lang w:eastAsia="zh-CN"/>
              </w:rPr>
            </w:pPr>
          </w:p>
          <w:p>
            <w:pPr>
              <w:pStyle w:val="4"/>
              <w:jc w:val="center"/>
              <w:outlineLvl w:val="9"/>
              <w:rPr>
                <w:rFonts w:hint="eastAsia"/>
                <w:sz w:val="21"/>
                <w:szCs w:val="21"/>
                <w:lang w:eastAsia="zh-CN"/>
              </w:rPr>
            </w:pPr>
          </w:p>
        </w:tc>
        <w:tc>
          <w:tcPr>
            <w:tcW w:w="1759" w:type="dxa"/>
            <w:noWrap w:val="0"/>
            <w:vAlign w:val="top"/>
          </w:tcPr>
          <w:p>
            <w:pPr>
              <w:jc w:val="center"/>
              <w:rPr>
                <w:rFonts w:hint="eastAsia"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908" w:type="dxa"/>
            <w:vMerge w:val="continue"/>
            <w:noWrap w:val="0"/>
            <w:vAlign w:val="top"/>
          </w:tcPr>
          <w:p>
            <w:pPr>
              <w:pStyle w:val="12"/>
              <w:ind w:left="102"/>
              <w:jc w:val="center"/>
              <w:rPr>
                <w:rFonts w:hint="eastAsia" w:eastAsia="宋体"/>
                <w:sz w:val="21"/>
                <w:szCs w:val="21"/>
                <w:highlight w:val="none"/>
                <w:lang w:eastAsia="zh-CN"/>
              </w:rPr>
            </w:pPr>
          </w:p>
        </w:tc>
        <w:tc>
          <w:tcPr>
            <w:tcW w:w="564" w:type="dxa"/>
            <w:vMerge w:val="continue"/>
            <w:noWrap w:val="0"/>
            <w:vAlign w:val="top"/>
          </w:tcPr>
          <w:p>
            <w:pPr>
              <w:pStyle w:val="12"/>
              <w:spacing w:before="4"/>
              <w:ind w:left="102"/>
              <w:jc w:val="center"/>
              <w:rPr>
                <w:rFonts w:hint="eastAsia"/>
                <w:sz w:val="21"/>
                <w:szCs w:val="21"/>
                <w:highlight w:val="none"/>
                <w:lang w:eastAsia="zh-CN"/>
              </w:rPr>
            </w:pPr>
          </w:p>
        </w:tc>
        <w:tc>
          <w:tcPr>
            <w:tcW w:w="3711" w:type="dxa"/>
            <w:noWrap w:val="0"/>
            <w:vAlign w:val="top"/>
          </w:tcPr>
          <w:p>
            <w:pPr>
              <w:pStyle w:val="12"/>
              <w:spacing w:line="320" w:lineRule="exact"/>
              <w:ind w:left="102"/>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单位负责人为同一人或者存在直接控股、管理关系的不同投标人，没有同时参加本项目的政府采购活动。</w:t>
            </w:r>
          </w:p>
        </w:tc>
        <w:tc>
          <w:tcPr>
            <w:tcW w:w="5563" w:type="dxa"/>
            <w:noWrap w:val="0"/>
            <w:vAlign w:val="center"/>
          </w:tcPr>
          <w:p>
            <w:pPr>
              <w:spacing w:line="3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书面声明（格式自拟</w:t>
            </w:r>
            <w:r>
              <w:rPr>
                <w:rFonts w:hint="eastAsia" w:ascii="宋体" w:hAnsi="宋体" w:eastAsia="宋体" w:cs="宋体"/>
                <w:sz w:val="21"/>
                <w:szCs w:val="21"/>
                <w:highlight w:val="none"/>
                <w:lang w:eastAsia="zh-CN"/>
              </w:rPr>
              <w:t>）</w:t>
            </w:r>
          </w:p>
        </w:tc>
        <w:tc>
          <w:tcPr>
            <w:tcW w:w="1541" w:type="dxa"/>
            <w:noWrap w:val="0"/>
            <w:vAlign w:val="center"/>
          </w:tcPr>
          <w:p>
            <w:pPr>
              <w:spacing w:line="300" w:lineRule="exact"/>
              <w:jc w:val="center"/>
              <w:rPr>
                <w:rFonts w:hint="eastAsia" w:eastAsia="宋体" w:cs="宋体"/>
                <w:sz w:val="21"/>
                <w:szCs w:val="21"/>
                <w:highlight w:val="none"/>
                <w:lang w:eastAsia="zh-CN"/>
              </w:rPr>
            </w:pPr>
          </w:p>
          <w:p>
            <w:pPr>
              <w:pStyle w:val="4"/>
              <w:jc w:val="center"/>
              <w:outlineLvl w:val="9"/>
              <w:rPr>
                <w:rFonts w:hint="eastAsia"/>
                <w:sz w:val="21"/>
                <w:szCs w:val="21"/>
                <w:lang w:eastAsia="zh-CN"/>
              </w:rPr>
            </w:pPr>
          </w:p>
        </w:tc>
        <w:tc>
          <w:tcPr>
            <w:tcW w:w="1759" w:type="dxa"/>
            <w:noWrap w:val="0"/>
            <w:vAlign w:val="top"/>
          </w:tcPr>
          <w:p>
            <w:pPr>
              <w:spacing w:line="300" w:lineRule="exact"/>
              <w:jc w:val="center"/>
              <w:rPr>
                <w:rFonts w:hint="eastAsia"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vAlign w:val="top"/>
          </w:tcPr>
          <w:p>
            <w:pPr>
              <w:pStyle w:val="4"/>
              <w:jc w:val="center"/>
              <w:outlineLvl w:val="9"/>
              <w:rPr>
                <w:rFonts w:hint="eastAsia"/>
                <w:sz w:val="21"/>
                <w:szCs w:val="21"/>
                <w:lang w:eastAsia="zh-CN"/>
              </w:rPr>
            </w:pPr>
          </w:p>
        </w:tc>
        <w:tc>
          <w:tcPr>
            <w:tcW w:w="564" w:type="dxa"/>
            <w:vMerge w:val="continue"/>
            <w:noWrap w:val="0"/>
            <w:vAlign w:val="top"/>
          </w:tcPr>
          <w:p>
            <w:pPr>
              <w:pStyle w:val="12"/>
              <w:spacing w:line="242" w:lineRule="exact"/>
              <w:ind w:left="102"/>
              <w:jc w:val="center"/>
              <w:rPr>
                <w:rFonts w:hint="eastAsia"/>
                <w:sz w:val="21"/>
                <w:szCs w:val="21"/>
                <w:highlight w:val="none"/>
                <w:lang w:eastAsia="zh-CN"/>
              </w:rPr>
            </w:pPr>
          </w:p>
        </w:tc>
        <w:tc>
          <w:tcPr>
            <w:tcW w:w="3711" w:type="dxa"/>
            <w:noWrap w:val="0"/>
            <w:vAlign w:val="top"/>
          </w:tcPr>
          <w:p>
            <w:pPr>
              <w:pStyle w:val="12"/>
              <w:spacing w:line="320" w:lineRule="exact"/>
              <w:ind w:left="102"/>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未为本采购项目提供整体设计、规范编制或者项目管理、监理、检测等服务的。</w:t>
            </w:r>
          </w:p>
        </w:tc>
        <w:tc>
          <w:tcPr>
            <w:tcW w:w="5563" w:type="dxa"/>
            <w:noWrap w:val="0"/>
            <w:vAlign w:val="center"/>
          </w:tcPr>
          <w:p>
            <w:pPr>
              <w:spacing w:line="3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书面声明（格式自拟</w:t>
            </w:r>
            <w:r>
              <w:rPr>
                <w:rFonts w:hint="eastAsia" w:ascii="宋体" w:hAnsi="宋体" w:eastAsia="宋体" w:cs="宋体"/>
                <w:sz w:val="21"/>
                <w:szCs w:val="21"/>
                <w:highlight w:val="none"/>
                <w:lang w:eastAsia="zh-CN"/>
              </w:rPr>
              <w:t>）</w:t>
            </w:r>
          </w:p>
        </w:tc>
        <w:tc>
          <w:tcPr>
            <w:tcW w:w="1541" w:type="dxa"/>
            <w:noWrap w:val="0"/>
            <w:vAlign w:val="top"/>
          </w:tcPr>
          <w:p>
            <w:pPr>
              <w:jc w:val="center"/>
              <w:rPr>
                <w:rFonts w:hint="eastAsia" w:eastAsia="宋体" w:cs="宋体"/>
                <w:sz w:val="21"/>
                <w:szCs w:val="21"/>
                <w:highlight w:val="none"/>
                <w:lang w:eastAsia="zh-CN"/>
              </w:rPr>
            </w:pPr>
          </w:p>
          <w:p>
            <w:pPr>
              <w:pStyle w:val="4"/>
              <w:jc w:val="center"/>
              <w:outlineLvl w:val="9"/>
              <w:rPr>
                <w:rFonts w:hint="eastAsia"/>
                <w:sz w:val="21"/>
                <w:szCs w:val="21"/>
                <w:lang w:eastAsia="zh-CN"/>
              </w:rPr>
            </w:pPr>
          </w:p>
        </w:tc>
        <w:tc>
          <w:tcPr>
            <w:tcW w:w="1759" w:type="dxa"/>
            <w:noWrap w:val="0"/>
            <w:vAlign w:val="top"/>
          </w:tcPr>
          <w:p>
            <w:pPr>
              <w:jc w:val="center"/>
              <w:rPr>
                <w:rFonts w:hint="eastAsia"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vAlign w:val="top"/>
          </w:tcPr>
          <w:p>
            <w:pPr>
              <w:jc w:val="center"/>
              <w:rPr>
                <w:rFonts w:hint="default" w:cs="宋体"/>
                <w:sz w:val="21"/>
                <w:szCs w:val="21"/>
                <w:highlight w:val="none"/>
                <w:lang w:val="en-US" w:eastAsia="zh-CN"/>
              </w:rPr>
            </w:pPr>
          </w:p>
        </w:tc>
        <w:tc>
          <w:tcPr>
            <w:tcW w:w="564" w:type="dxa"/>
            <w:vMerge w:val="continue"/>
            <w:noWrap w:val="0"/>
            <w:vAlign w:val="top"/>
          </w:tcPr>
          <w:p>
            <w:pPr>
              <w:pStyle w:val="12"/>
              <w:spacing w:line="242" w:lineRule="exact"/>
              <w:ind w:left="102"/>
              <w:jc w:val="center"/>
              <w:rPr>
                <w:rFonts w:hint="eastAsia"/>
                <w:sz w:val="21"/>
                <w:szCs w:val="21"/>
                <w:highlight w:val="none"/>
                <w:lang w:eastAsia="zh-CN"/>
              </w:rPr>
            </w:pPr>
          </w:p>
        </w:tc>
        <w:tc>
          <w:tcPr>
            <w:tcW w:w="3711" w:type="dxa"/>
            <w:noWrap w:val="0"/>
            <w:vAlign w:val="top"/>
          </w:tcPr>
          <w:p>
            <w:pPr>
              <w:pStyle w:val="12"/>
              <w:spacing w:line="320" w:lineRule="exact"/>
              <w:ind w:left="102"/>
              <w:jc w:val="center"/>
              <w:rPr>
                <w:rFonts w:hint="eastAsia" w:ascii="宋体" w:hAnsi="宋体" w:eastAsia="宋体" w:cs="宋体"/>
                <w:sz w:val="21"/>
                <w:szCs w:val="21"/>
                <w:highlight w:val="none"/>
                <w:lang w:eastAsia="zh-CN"/>
              </w:rPr>
            </w:pPr>
          </w:p>
          <w:p>
            <w:pPr>
              <w:pStyle w:val="12"/>
              <w:spacing w:line="320" w:lineRule="exact"/>
              <w:ind w:left="102"/>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业绩</w:t>
            </w:r>
          </w:p>
        </w:tc>
        <w:tc>
          <w:tcPr>
            <w:tcW w:w="5563" w:type="dxa"/>
            <w:noWrap w:val="0"/>
            <w:vAlign w:val="center"/>
          </w:tcPr>
          <w:p>
            <w:pPr>
              <w:spacing w:line="3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近三年至少一个</w:t>
            </w:r>
          </w:p>
        </w:tc>
        <w:tc>
          <w:tcPr>
            <w:tcW w:w="1541" w:type="dxa"/>
            <w:noWrap w:val="0"/>
            <w:vAlign w:val="top"/>
          </w:tcPr>
          <w:p>
            <w:pPr>
              <w:pStyle w:val="4"/>
              <w:jc w:val="center"/>
              <w:outlineLvl w:val="9"/>
              <w:rPr>
                <w:rFonts w:hint="eastAsia"/>
                <w:sz w:val="21"/>
                <w:szCs w:val="21"/>
                <w:lang w:eastAsia="zh-CN"/>
              </w:rPr>
            </w:pPr>
          </w:p>
        </w:tc>
        <w:tc>
          <w:tcPr>
            <w:tcW w:w="1759" w:type="dxa"/>
            <w:noWrap w:val="0"/>
            <w:vAlign w:val="top"/>
          </w:tcPr>
          <w:p>
            <w:pPr>
              <w:jc w:val="center"/>
              <w:rPr>
                <w:rFonts w:hint="eastAsia"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noWrap w:val="0"/>
            <w:vAlign w:val="top"/>
          </w:tcPr>
          <w:p>
            <w:pPr>
              <w:jc w:val="center"/>
              <w:rPr>
                <w:rFonts w:hint="eastAsia" w:eastAsia="宋体" w:cs="宋体"/>
                <w:sz w:val="21"/>
                <w:szCs w:val="21"/>
                <w:highlight w:val="none"/>
                <w:lang w:eastAsia="zh-CN"/>
              </w:rPr>
            </w:pPr>
            <w:r>
              <w:rPr>
                <w:rFonts w:hint="eastAsia" w:cs="宋体"/>
                <w:sz w:val="21"/>
                <w:szCs w:val="21"/>
                <w:highlight w:val="none"/>
                <w:lang w:val="en-US" w:eastAsia="zh-CN"/>
              </w:rPr>
              <w:t>3</w:t>
            </w:r>
          </w:p>
        </w:tc>
        <w:tc>
          <w:tcPr>
            <w:tcW w:w="564" w:type="dxa"/>
            <w:noWrap w:val="0"/>
            <w:vAlign w:val="top"/>
          </w:tcPr>
          <w:p>
            <w:pPr>
              <w:pStyle w:val="12"/>
              <w:spacing w:line="242" w:lineRule="exact"/>
              <w:ind w:left="102"/>
              <w:jc w:val="center"/>
              <w:rPr>
                <w:rFonts w:hint="eastAsia"/>
                <w:sz w:val="21"/>
                <w:szCs w:val="21"/>
                <w:highlight w:val="none"/>
                <w:lang w:eastAsia="zh-CN"/>
              </w:rPr>
            </w:pPr>
            <w:r>
              <w:rPr>
                <w:rFonts w:hint="eastAsia"/>
                <w:sz w:val="21"/>
                <w:szCs w:val="21"/>
                <w:highlight w:val="none"/>
                <w:lang w:eastAsia="zh-CN"/>
              </w:rPr>
              <w:t>特定资格要求</w:t>
            </w:r>
          </w:p>
        </w:tc>
        <w:tc>
          <w:tcPr>
            <w:tcW w:w="3711" w:type="dxa"/>
            <w:noWrap w:val="0"/>
            <w:vAlign w:val="top"/>
          </w:tcPr>
          <w:p>
            <w:pPr>
              <w:pStyle w:val="12"/>
              <w:spacing w:line="320" w:lineRule="exact"/>
              <w:ind w:left="102"/>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投标人具备有效的《医疗机构执业许可证》《放射诊疗许可证》，许可范围包含本项目全部采购内容</w:t>
            </w:r>
            <w:r>
              <w:rPr>
                <w:rFonts w:hint="eastAsia" w:ascii="宋体" w:hAnsi="宋体" w:eastAsia="宋体" w:cs="宋体"/>
                <w:sz w:val="21"/>
                <w:szCs w:val="21"/>
                <w:highlight w:val="none"/>
              </w:rPr>
              <w:t>。</w:t>
            </w:r>
          </w:p>
        </w:tc>
        <w:tc>
          <w:tcPr>
            <w:tcW w:w="5563" w:type="dxa"/>
            <w:noWrap w:val="0"/>
            <w:vAlign w:val="center"/>
          </w:tcPr>
          <w:p>
            <w:pPr>
              <w:spacing w:line="3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提供相关证</w:t>
            </w:r>
            <w:r>
              <w:rPr>
                <w:rFonts w:hint="eastAsia" w:ascii="宋体" w:hAnsi="宋体" w:eastAsia="宋体" w:cs="宋体"/>
                <w:sz w:val="21"/>
                <w:szCs w:val="21"/>
                <w:highlight w:val="none"/>
                <w:lang w:eastAsia="zh-CN"/>
              </w:rPr>
              <w:t>明</w:t>
            </w:r>
          </w:p>
        </w:tc>
        <w:tc>
          <w:tcPr>
            <w:tcW w:w="1541" w:type="dxa"/>
            <w:noWrap w:val="0"/>
            <w:vAlign w:val="top"/>
          </w:tcPr>
          <w:p>
            <w:pPr>
              <w:jc w:val="center"/>
              <w:rPr>
                <w:rFonts w:hint="eastAsia" w:eastAsia="宋体" w:cs="宋体"/>
                <w:sz w:val="21"/>
                <w:szCs w:val="21"/>
                <w:highlight w:val="none"/>
                <w:lang w:eastAsia="zh-CN"/>
              </w:rPr>
            </w:pPr>
          </w:p>
          <w:p>
            <w:pPr>
              <w:pStyle w:val="4"/>
              <w:jc w:val="center"/>
              <w:outlineLvl w:val="9"/>
              <w:rPr>
                <w:rFonts w:hint="eastAsia"/>
                <w:sz w:val="21"/>
                <w:szCs w:val="21"/>
                <w:lang w:eastAsia="zh-CN"/>
              </w:rPr>
            </w:pPr>
          </w:p>
        </w:tc>
        <w:tc>
          <w:tcPr>
            <w:tcW w:w="1759" w:type="dxa"/>
            <w:noWrap w:val="0"/>
            <w:vAlign w:val="top"/>
          </w:tcPr>
          <w:p>
            <w:pPr>
              <w:jc w:val="center"/>
              <w:rPr>
                <w:rFonts w:hint="eastAsia" w:cs="宋体"/>
                <w:sz w:val="21"/>
                <w:szCs w:val="21"/>
                <w:highlight w:val="none"/>
              </w:rPr>
            </w:pPr>
          </w:p>
        </w:tc>
      </w:tr>
    </w:tbl>
    <w:p>
      <w:pPr>
        <w:pStyle w:val="8"/>
        <w:spacing w:before="0" w:beforeAutospacing="0" w:after="0" w:afterAutospacing="0" w:line="480" w:lineRule="atLeast"/>
        <w:ind w:left="330" w:right="330"/>
        <w:jc w:val="both"/>
        <w:outlineLvl w:val="9"/>
        <w:rPr>
          <w:rFonts w:hint="eastAsia" w:ascii="仿宋" w:hAnsi="仿宋" w:eastAsia="仿宋" w:cs="仿宋"/>
          <w:b/>
          <w:bCs/>
          <w:sz w:val="32"/>
          <w:highlight w:val="none"/>
        </w:rPr>
      </w:pPr>
      <w:r>
        <w:rPr>
          <w:rFonts w:hint="eastAsia" w:ascii="仿宋" w:hAnsi="仿宋" w:eastAsia="仿宋" w:cs="仿宋"/>
          <w:b/>
          <w:bCs/>
          <w:sz w:val="32"/>
          <w:highlight w:val="none"/>
        </w:rPr>
        <w:t>注：1、</w:t>
      </w:r>
      <w:r>
        <w:rPr>
          <w:rFonts w:hint="eastAsia" w:ascii="仿宋" w:hAnsi="仿宋" w:eastAsia="仿宋" w:cs="仿宋"/>
          <w:b/>
          <w:bCs/>
          <w:sz w:val="32"/>
          <w:highlight w:val="none"/>
          <w:lang w:eastAsia="zh-CN"/>
        </w:rPr>
        <w:t>公开投标投标人</w:t>
      </w:r>
      <w:r>
        <w:rPr>
          <w:rFonts w:hint="eastAsia" w:ascii="仿宋" w:hAnsi="仿宋" w:eastAsia="仿宋" w:cs="仿宋"/>
          <w:b/>
          <w:bCs/>
          <w:sz w:val="32"/>
          <w:highlight w:val="none"/>
        </w:rPr>
        <w:t>必须携带以上所需材料的装订成册并加盖公章的材料</w:t>
      </w:r>
      <w:r>
        <w:rPr>
          <w:rFonts w:hint="eastAsia" w:ascii="仿宋" w:hAnsi="仿宋" w:eastAsia="仿宋" w:cs="仿宋"/>
          <w:b/>
          <w:bCs/>
          <w:sz w:val="32"/>
          <w:highlight w:val="none"/>
          <w:lang w:val="en-US" w:eastAsia="zh-CN"/>
        </w:rPr>
        <w:t>原件及</w:t>
      </w:r>
      <w:r>
        <w:rPr>
          <w:rFonts w:hint="eastAsia" w:ascii="仿宋" w:hAnsi="仿宋" w:eastAsia="仿宋" w:cs="仿宋"/>
          <w:b/>
          <w:bCs/>
          <w:sz w:val="32"/>
          <w:highlight w:val="none"/>
        </w:rPr>
        <w:t>复印件（一份）到武汉市汉阳区华发国际企业大厦接受</w:t>
      </w:r>
      <w:r>
        <w:rPr>
          <w:rFonts w:hint="eastAsia" w:ascii="仿宋" w:hAnsi="仿宋" w:eastAsia="仿宋" w:cs="仿宋"/>
          <w:b/>
          <w:bCs/>
          <w:sz w:val="32"/>
          <w:highlight w:val="none"/>
          <w:lang w:eastAsia="zh-CN"/>
        </w:rPr>
        <w:t>评标小组</w:t>
      </w:r>
      <w:r>
        <w:rPr>
          <w:rFonts w:hint="eastAsia" w:ascii="仿宋" w:hAnsi="仿宋" w:eastAsia="仿宋" w:cs="仿宋"/>
          <w:b/>
          <w:bCs/>
          <w:sz w:val="32"/>
          <w:highlight w:val="none"/>
        </w:rPr>
        <w:t>的资格审查，如携带不全、提供材料不全或确认是伪造、变造、无效的视为资格审查不合格。</w:t>
      </w:r>
    </w:p>
    <w:p>
      <w:pPr>
        <w:pStyle w:val="2"/>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NTY3YWU3NjM5N2E5Y2I3MjMxOGQ5ZDgxOWE2YzEifQ=="/>
  </w:docVars>
  <w:rsids>
    <w:rsidRoot w:val="5B251716"/>
    <w:rsid w:val="05207271"/>
    <w:rsid w:val="25DF46AA"/>
    <w:rsid w:val="42B4295E"/>
    <w:rsid w:val="43B11BEC"/>
    <w:rsid w:val="469E1A95"/>
    <w:rsid w:val="4E534E02"/>
    <w:rsid w:val="5B251716"/>
    <w:rsid w:val="605F3945"/>
    <w:rsid w:val="61F85AD3"/>
    <w:rsid w:val="6CC95E33"/>
    <w:rsid w:val="7DC46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1"/>
    <w:qFormat/>
    <w:uiPriority w:val="0"/>
    <w:pPr>
      <w:keepNext/>
      <w:keepLines/>
      <w:spacing w:beforeLines="0" w:beforeAutospacing="0" w:afterLines="0" w:afterAutospacing="0" w:line="760" w:lineRule="exact"/>
      <w:jc w:val="center"/>
      <w:outlineLvl w:val="0"/>
    </w:pPr>
    <w:rPr>
      <w:rFonts w:ascii="Tahoma" w:hAnsi="Tahoma" w:eastAsia="方正小标宋简体" w:cs="Times New Roman"/>
      <w:kern w:val="44"/>
      <w:sz w:val="44"/>
      <w:szCs w:val="22"/>
    </w:rPr>
  </w:style>
  <w:style w:type="paragraph" w:styleId="4">
    <w:name w:val="heading 2"/>
    <w:basedOn w:val="1"/>
    <w:next w:val="1"/>
    <w:semiHidden/>
    <w:unhideWhenUsed/>
    <w:qFormat/>
    <w:uiPriority w:val="0"/>
    <w:pPr>
      <w:keepNext/>
      <w:keepLines/>
      <w:spacing w:line="520" w:lineRule="exact"/>
      <w:ind w:firstLine="422" w:firstLineChars="200"/>
      <w:jc w:val="center"/>
      <w:outlineLvl w:val="1"/>
    </w:pPr>
    <w:rPr>
      <w:rFonts w:ascii="宋体" w:hAnsi="宋体" w:eastAsia="黑体" w:cs="Times New Roman"/>
      <w:bCs/>
      <w:sz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520" w:lineRule="exact"/>
      <w:ind w:firstLine="1121" w:firstLineChars="200"/>
      <w:outlineLvl w:val="2"/>
    </w:pPr>
    <w:rPr>
      <w:rFonts w:eastAsia="仿宋" w:asciiTheme="minorAscii" w:hAnsiTheme="minorAscii"/>
      <w:b/>
      <w:sz w:val="32"/>
    </w:rPr>
  </w:style>
  <w:style w:type="paragraph" w:styleId="2">
    <w:name w:val="heading 5"/>
    <w:basedOn w:val="1"/>
    <w:next w:val="1"/>
    <w:qFormat/>
    <w:uiPriority w:val="0"/>
    <w:pPr>
      <w:keepNext/>
      <w:keepLines/>
      <w:spacing w:line="360" w:lineRule="auto"/>
      <w:outlineLvl w:val="4"/>
    </w:pPr>
    <w:rPr>
      <w:rFonts w:ascii="宋体" w:hAnsi="宋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Indent"/>
    <w:basedOn w:val="1"/>
    <w:next w:val="7"/>
    <w:qFormat/>
    <w:uiPriority w:val="0"/>
    <w:pPr>
      <w:ind w:left="420" w:leftChars="200"/>
    </w:pPr>
  </w:style>
  <w:style w:type="paragraph" w:styleId="7">
    <w:name w:val="Body Text First Indent 2"/>
    <w:basedOn w:val="6"/>
    <w:qFormat/>
    <w:uiPriority w:val="0"/>
    <w:pPr>
      <w:ind w:firstLine="420" w:firstLine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标题 1 Char"/>
    <w:link w:val="3"/>
    <w:qFormat/>
    <w:uiPriority w:val="0"/>
    <w:rPr>
      <w:rFonts w:ascii="Tahoma" w:hAnsi="Tahoma" w:eastAsia="方正小标宋简体" w:cs="Times New Roman"/>
      <w:kern w:val="44"/>
      <w:sz w:val="44"/>
      <w:szCs w:val="22"/>
    </w:rPr>
  </w:style>
  <w:style w:type="paragraph" w:customStyle="1" w:styleId="12">
    <w:name w:val="Table Paragraph"/>
    <w:basedOn w:val="1"/>
    <w:qFormat/>
    <w:uiPriority w:val="1"/>
    <w:rPr>
      <w:rFonts w:ascii="宋体" w:hAnsi="宋体" w:eastAsia="宋体" w:cs="宋体"/>
      <w:lang w:val="en-US" w:eastAsia="en-US" w:bidi="en-US"/>
    </w:rPr>
  </w:style>
  <w:style w:type="paragraph" w:customStyle="1" w:styleId="13">
    <w:name w:val="Default"/>
    <w:next w:val="6"/>
    <w:qFormat/>
    <w:uiPriority w:val="0"/>
    <w:pPr>
      <w:widowControl w:val="0"/>
      <w:autoSpaceDE w:val="0"/>
      <w:autoSpaceDN w:val="0"/>
    </w:pPr>
    <w:rPr>
      <w:rFonts w:hint="eastAsia" w:ascii="微软雅黑" w:hAnsi="微软雅黑" w:eastAsia="微软雅黑"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2022-07-13T03:05:00Z</dcterms:created>
  <dc:creator>idiot</dc:creator>
  <cp:lastModifiedBy>idiot</cp:lastModifiedBy>
  <dcterms:modified xsi:type="dcterms:W3CDTF">2022-07-13T03:05:55Z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E12ABA668D464AE4AAFD73E725598441</vt:lpwstr>
  </property>
</Properties>
</file>