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jc w:val="both"/>
        <w:outlineLvl w:val="9"/>
        <w:rPr>
          <w:rFonts w:hint="eastAsia" w:ascii="黑体" w:hAnsi="黑体" w:eastAsia="黑体" w:cs="黑体"/>
          <w:spacing w:val="-8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24"/>
          <w:szCs w:val="24"/>
          <w:lang w:val="en-US" w:eastAsia="zh-CN"/>
        </w:rPr>
        <w:t>附件二：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72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2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36"/>
          <w:lang w:val="en-US" w:eastAsia="zh-CN"/>
        </w:rPr>
        <w:t>生态设计院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36"/>
          <w:lang w:val="en-US" w:eastAsia="zh-CN"/>
        </w:rPr>
        <w:t>2022年职工体检服务机构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5"/>
          <w:sz w:val="44"/>
          <w:szCs w:val="36"/>
          <w:shd w:val="clear" w:fill="FFFFFF"/>
          <w:lang w:val="en-US" w:eastAsia="zh-CN"/>
        </w:rPr>
        <w:t>公开招标评分细则</w:t>
      </w:r>
    </w:p>
    <w:p>
      <w:pPr>
        <w:pStyle w:val="7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9"/>
        <w:tblW w:w="10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060"/>
        <w:gridCol w:w="8059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评标项</w:t>
            </w:r>
            <w:r>
              <w:rPr>
                <w:rFonts w:hint="eastAsia"/>
                <w:highlight w:val="none"/>
                <w:lang w:eastAsia="zh-CN"/>
              </w:rPr>
              <w:t>目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评标分</w:t>
            </w:r>
            <w:r>
              <w:rPr>
                <w:rFonts w:hint="eastAsia"/>
                <w:highlight w:val="none"/>
                <w:lang w:eastAsia="zh-CN"/>
              </w:rPr>
              <w:t>项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评标分项及分</w:t>
            </w:r>
            <w:r>
              <w:rPr>
                <w:rFonts w:hint="eastAsia"/>
                <w:highlight w:val="none"/>
                <w:lang w:eastAsia="zh-CN"/>
              </w:rPr>
              <w:t>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分</w:t>
            </w:r>
            <w:r>
              <w:rPr>
                <w:rFonts w:hint="eastAsia"/>
                <w:highlight w:val="none"/>
                <w:lang w:eastAsia="zh-CN"/>
              </w:rPr>
              <w:t>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价格部分（10分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9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价格分统一采用低价优先法计算，即满足</w:t>
            </w:r>
            <w:r>
              <w:rPr>
                <w:rFonts w:hint="eastAsia"/>
                <w:highlight w:val="none"/>
                <w:lang w:eastAsia="zh-CN"/>
              </w:rPr>
              <w:t>公开招标</w:t>
            </w:r>
            <w:r>
              <w:rPr>
                <w:rFonts w:hint="eastAsia"/>
                <w:highlight w:val="none"/>
              </w:rPr>
              <w:t>文件要求且最后报价最低的供应商的价格为</w:t>
            </w:r>
            <w:r>
              <w:rPr>
                <w:rFonts w:hint="eastAsia"/>
                <w:highlight w:val="none"/>
                <w:lang w:eastAsia="zh-CN"/>
              </w:rPr>
              <w:t>公开招标</w:t>
            </w:r>
            <w:r>
              <w:rPr>
                <w:rFonts w:hint="eastAsia"/>
                <w:highlight w:val="none"/>
              </w:rPr>
              <w:t>基准价，其价格分为满分。其他供应商的价格分统一按照下列公式计算：</w:t>
            </w:r>
            <w:r>
              <w:rPr>
                <w:rFonts w:hint="eastAsia"/>
                <w:highlight w:val="none"/>
                <w:lang w:eastAsia="zh-CN"/>
              </w:rPr>
              <w:t>公开投标报价</w:t>
            </w:r>
            <w:r>
              <w:rPr>
                <w:rFonts w:hint="eastAsia"/>
                <w:highlight w:val="none"/>
              </w:rPr>
              <w:t>得分=(</w:t>
            </w:r>
            <w:r>
              <w:rPr>
                <w:rFonts w:hint="eastAsia"/>
                <w:highlight w:val="none"/>
                <w:lang w:eastAsia="zh-CN"/>
              </w:rPr>
              <w:t>公开招标</w:t>
            </w:r>
            <w:r>
              <w:rPr>
                <w:rFonts w:hint="eastAsia"/>
                <w:highlight w:val="none"/>
              </w:rPr>
              <w:t>基准价／最后</w:t>
            </w:r>
            <w:r>
              <w:rPr>
                <w:rFonts w:hint="eastAsia"/>
                <w:highlight w:val="none"/>
                <w:lang w:eastAsia="zh-CN"/>
              </w:rPr>
              <w:t>公开投标报价</w:t>
            </w:r>
            <w:r>
              <w:rPr>
                <w:rFonts w:hint="eastAsia"/>
                <w:highlight w:val="none"/>
              </w:rPr>
              <w:t>)×10%×100分。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/>
                <w:highlight w:val="none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商务部分</w:t>
            </w:r>
          </w:p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（30分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体检场</w:t>
            </w:r>
            <w:r>
              <w:rPr>
                <w:rFonts w:hint="eastAsia"/>
                <w:highlight w:val="none"/>
                <w:lang w:eastAsia="zh-CN"/>
              </w:rPr>
              <w:t>所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根据供应商提供的体检场所面积大小(本次提供服务的单店）（附面积图纸）、布局情况、卫生情况综合评分；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较好满足项目需求得10分，基本满足项目需求6分，部分满足项目需求得2分，未提供不得分。（提供证明材料，需要通过场地大小、接待能力、服务能力等多方面综合证明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/>
                <w:highlight w:val="none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供应商本次提供的体检现场交通便利，且体检场所具有停车场地的得3分（体检场地需要标注交通路线图。停车场地需要在地图上标注体检场地）。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为保证体检方便，男女分区设置合理、路引及导流指示合理、各项体检标识醒目的得2分。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供应商按照招标文件需求，安排体检场地：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体检场地宽敞明亮，干净整洁，满足体检需求，得1分；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体检场地安排有咨询台，并在明显处设置了流程的标识，得1分；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体检场地安排有更衣室，更衣室保密性好、私密性好，得1分；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体检场地各个项目的检查位置布置合理，集中，便于体检安排，得1分；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体检场地设置有餐厅，休息等待区、方便取用饮用水等设备，服务轮椅，得1分。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（须针对上述要求，分别提供体检场地的图片，并加以文字说明。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类似业</w:t>
            </w:r>
            <w:r>
              <w:rPr>
                <w:rFonts w:hint="eastAsia"/>
                <w:highlight w:val="none"/>
                <w:lang w:eastAsia="zh-CN"/>
              </w:rPr>
              <w:t>绩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供应商近3年来，承担过类似体检项目业绩的，每个得2分，最高得10分。（提供合同证明材料或中标通知书，否则不得分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/>
                <w:highlight w:val="none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技术部分（60分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人员配</w:t>
            </w:r>
            <w:r>
              <w:rPr>
                <w:rFonts w:hint="eastAsia"/>
                <w:highlight w:val="none"/>
                <w:lang w:eastAsia="zh-CN"/>
              </w:rPr>
              <w:t>置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供应商专门针对本次服务拟派人员，且满足项目服务要求：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1、主检医生：提供主检医生的人员清单，包含主检医生的学历、资格、工作年限及所属科室等内容，同时提供相应的证明文件。上述要求的主检医生证明文件提供完整，清晰可见。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高级职称（副主任医师及以上），每提供一个高级职称得2分（累计不超过10分）；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中级职称（主治医师），每提供一个中级职称得1分（累计不超过5分）。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2、辅助人员：辅助人员包含技师、护士等，提供完整的人员清单进行评分。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拟派辅助人员经验丰富、履历好，综合配备方案可行性与本项目完全匹配得5分；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拟派辅助人员较为丰富、履历较好，综合配备方案可行性与本项目较为匹配得3分；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辅助人员经验较为丰富和综合配备方案基本合理得1分；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不提供或完全不可行或不合理的该项不得分。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（须提供重要人员（医生、技师）清单、类似工作经历、职称证书、执业注册地、劳动合同（含身份证复印件，身份证号可遮盖）等并加盖公章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rFonts w:hint="eastAsia"/>
                <w:highlight w:val="none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检测设</w:t>
            </w:r>
            <w:r>
              <w:rPr>
                <w:rFonts w:hint="eastAsia"/>
                <w:highlight w:val="none"/>
                <w:lang w:eastAsia="zh-CN"/>
              </w:rPr>
              <w:t>备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根据招标文件需求，针对本项目的体检，投入相应设备仪器及设施的种类进行评分。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1.提供的设备齐全，技术先进，维护良好，满足体检服务要求的，得8分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2.提供的设备齐全，技术较先进，基本满足体检服务要求的，得5分。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3.提供的设备较齐全，设备老旧，使用年限长，得3分；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4.提供的设备有欠缺，设备老旧，技术落后的得1分。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其他不得分。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（提供相应主要体检设备的清单、型号、功能、图片购置合同与发票等证明材料、乙类及以上设备设施须提供相关部门配置许可证、相关证明材料必须是清晰地影印件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体检前期服务方</w:t>
            </w:r>
            <w:r>
              <w:rPr>
                <w:rFonts w:hint="eastAsia"/>
                <w:highlight w:val="none"/>
                <w:lang w:eastAsia="zh-CN"/>
              </w:rPr>
              <w:t>案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1、针对本服务项目特点、时间安排、事项提醒和各项服务咨询方面制定科学、完善的实施计划和质量管理方案：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体检流程非常全面、体检流程简明易懂、体检流程高效有序、体检流程可信性方案具有针对性；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满足以上要求的，每满足一项得2分（最高不超过8分）。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2、专车接送服务承诺及服务方案：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出具专车接送承诺以及服务方案具有便捷、方便、合理性的得2分；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出具专车接送承诺以及服务方案基本合理，比较详细的得1分；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其他不得分；缺项或完成不可行或不合理的该项不得分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/>
                <w:highlight w:val="none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体检中期服务方</w:t>
            </w:r>
            <w:r>
              <w:rPr>
                <w:rFonts w:hint="eastAsia"/>
                <w:highlight w:val="none"/>
                <w:lang w:eastAsia="zh-CN"/>
              </w:rPr>
              <w:t>案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根据各供应商在体检中期对体检人员接待，指导，体检过程中注意事项等等，中期工作的服务方案进行评分。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能完全响应且方案详细，服务方案对采购人实际情况有针对性且可实施性高的得5分；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能完全响应或方案详细，服务方案能基本满足采购人实际情况的得3分；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其他得1分；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缺项或完成不可行或不合理的该项不得分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体检后期服务方</w:t>
            </w:r>
            <w:r>
              <w:rPr>
                <w:rFonts w:hint="eastAsia"/>
                <w:highlight w:val="none"/>
                <w:lang w:eastAsia="zh-CN"/>
              </w:rPr>
              <w:t>案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1、根据响应供应商规定的健康检查项目，提供完整、准确、真实的个人健康检查报告；此项最优得2分，较优得1分，一般不得分。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2、个人体检报告内容包括：主要阳性结果及建议；医学解释及指导方案；体检结果，其中影像学检查结果（包括图片、结果描述及意见）；完全满足得2分，缺少一项扣1分，扣完为止。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3、出具团体汇总报告；内容完整、数据统计清晰，有很强的健康指导意义。此项最优得2分，较优得1分，一般不得分。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（上述每项要求，承诺不提供或完全不可行或不合理的该项不得分；且需提供体检报告模板，并提供按照该模板出具体检报告的承诺。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对结果准确性的承</w:t>
            </w:r>
            <w:r>
              <w:rPr>
                <w:rFonts w:hint="eastAsia"/>
                <w:highlight w:val="none"/>
                <w:lang w:eastAsia="zh-CN"/>
              </w:rPr>
              <w:t>诺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承诺受检人报告出具二个月内，在其他三甲及以上医院复查出患有重大疾病，从医学鉴定认可供应商检查结果有问题，供应商应承担所有责任。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完全响应，方案详细、合理可行得3分；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方案详细、较为合理得2分；</w:t>
            </w:r>
          </w:p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方案较详细合理得1分；</w:t>
            </w:r>
          </w:p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缺项或完全不可行或不合理的该项不得分。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特色服</w:t>
            </w:r>
            <w:r>
              <w:rPr>
                <w:rFonts w:hint="eastAsia"/>
                <w:highlight w:val="none"/>
                <w:lang w:eastAsia="zh-CN"/>
              </w:rPr>
              <w:t>务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有特色服务条款，且贴合本项目实际情况的，每提供一项得1分，</w:t>
            </w:r>
          </w:p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本项最高分3分，未提供不得分。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增值服</w:t>
            </w:r>
            <w:r>
              <w:rPr>
                <w:rFonts w:hint="eastAsia"/>
                <w:highlight w:val="none"/>
                <w:lang w:eastAsia="zh-CN"/>
              </w:rPr>
              <w:t>务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早餐供应科学营养、考虑周全、品类搭配、数量供给等情况进行评审，0-2分。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供应商具有大型医疗设备配置许可证得2分，一个1分，最高3分。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  <w:r>
              <w:rPr>
                <w:rFonts w:hint="eastAsia"/>
                <w:highlight w:val="none"/>
                <w:lang w:eastAsia="zh-CN"/>
              </w:rPr>
              <w:t>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10</w:t>
            </w:r>
            <w:r>
              <w:rPr>
                <w:rFonts w:hint="eastAsia"/>
                <w:highlight w:val="none"/>
                <w:lang w:eastAsia="zh-CN"/>
              </w:rPr>
              <w:t>0</w:t>
            </w:r>
          </w:p>
        </w:tc>
      </w:tr>
    </w:tbl>
    <w:p>
      <w:r>
        <w:br w:type="page"/>
      </w:r>
    </w:p>
    <w:p>
      <w:pPr>
        <w:pStyle w:val="3"/>
        <w:rPr>
          <w:rFonts w:hint="eastAsia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NTY3YWU3NjM5N2E5Y2I3MjMxOGQ5ZDgxOWE2YzEifQ=="/>
  </w:docVars>
  <w:rsids>
    <w:rsidRoot w:val="6F38696F"/>
    <w:rsid w:val="05207271"/>
    <w:rsid w:val="25DF46AA"/>
    <w:rsid w:val="42B4295E"/>
    <w:rsid w:val="43B11BEC"/>
    <w:rsid w:val="469E1A95"/>
    <w:rsid w:val="4E534E02"/>
    <w:rsid w:val="605F3945"/>
    <w:rsid w:val="61F85AD3"/>
    <w:rsid w:val="6CC95E33"/>
    <w:rsid w:val="6F38696F"/>
    <w:rsid w:val="7DC4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760" w:lineRule="exact"/>
      <w:jc w:val="center"/>
      <w:outlineLvl w:val="0"/>
    </w:pPr>
    <w:rPr>
      <w:rFonts w:ascii="Tahoma" w:hAnsi="Tahoma" w:eastAsia="方正小标宋简体" w:cs="Times New Roman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ind w:firstLine="422" w:firstLineChars="200"/>
      <w:jc w:val="center"/>
      <w:outlineLvl w:val="1"/>
    </w:pPr>
    <w:rPr>
      <w:rFonts w:ascii="宋体" w:hAnsi="宋体" w:eastAsia="黑体" w:cs="Times New Roman"/>
      <w:bCs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20" w:lineRule="exact"/>
      <w:ind w:firstLine="1121" w:firstLineChars="200"/>
      <w:outlineLvl w:val="2"/>
    </w:pPr>
    <w:rPr>
      <w:rFonts w:eastAsia="仿宋" w:asciiTheme="minorAscii" w:hAnsiTheme="minorAscii"/>
      <w:b/>
      <w:sz w:val="32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360" w:lineRule="auto"/>
      <w:outlineLvl w:val="4"/>
    </w:pPr>
    <w:rPr>
      <w:rFonts w:ascii="宋体" w:hAnsi="宋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1 Char"/>
    <w:link w:val="3"/>
    <w:qFormat/>
    <w:uiPriority w:val="0"/>
    <w:rPr>
      <w:rFonts w:ascii="Tahoma" w:hAnsi="Tahoma" w:eastAsia="方正小标宋简体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2022-07-13T03:05:00Z</dcterms:created>
  <dc:creator>idiot</dc:creator>
  <cp:lastModifiedBy>idiot</cp:lastModifiedBy>
  <dcterms:modified xsi:type="dcterms:W3CDTF">2022-07-13T03:05:44Z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CB30196364F745D09FCC433EE5990EF5</vt:lpwstr>
  </property>
</Properties>
</file>