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315" w:lineRule="atLeast"/>
        <w:ind w:left="270" w:right="0"/>
        <w:jc w:val="both"/>
        <w:outlineLvl w:val="9"/>
        <w:rPr>
          <w:rFonts w:hint="eastAsia" w:ascii="黑体" w:hAnsi="黑体" w:eastAsia="黑体" w:cs="黑体"/>
          <w:b w:val="0"/>
          <w:bCs w:val="0"/>
          <w:color w:val="auto"/>
          <w:sz w:val="24"/>
          <w:szCs w:val="24"/>
          <w:lang w:val="en-US" w:eastAsia="zh-CN"/>
        </w:rPr>
      </w:pPr>
      <w:bookmarkStart w:id="0" w:name="_GoBack"/>
      <w:r>
        <w:rPr>
          <w:rFonts w:hint="eastAsia" w:ascii="黑体" w:hAnsi="黑体" w:eastAsia="黑体" w:cs="黑体"/>
          <w:spacing w:val="-8"/>
          <w:sz w:val="24"/>
          <w:szCs w:val="24"/>
          <w:lang w:val="en-US" w:eastAsia="zh-CN"/>
        </w:rPr>
        <w:t>附件一</w:t>
      </w:r>
      <w:bookmarkEnd w:id="0"/>
      <w:r>
        <w:rPr>
          <w:rFonts w:hint="eastAsia" w:ascii="黑体" w:hAnsi="黑体" w:eastAsia="黑体" w:cs="黑体"/>
          <w:spacing w:val="-8"/>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生态设计院2022年职工体检服务机构公开招标体检项目要求</w:t>
      </w:r>
    </w:p>
    <w:p>
      <w:pPr>
        <w:ind w:firstLine="640" w:firstLineChars="200"/>
        <w:outlineLvl w:val="9"/>
        <w:rPr>
          <w:rFonts w:hint="default" w:ascii="仿宋" w:hAnsi="仿宋" w:eastAsia="仿宋" w:cs="仿宋"/>
          <w:sz w:val="32"/>
          <w:lang w:val="en-US" w:eastAsia="zh-CN"/>
        </w:rPr>
      </w:pPr>
      <w:r>
        <w:rPr>
          <w:rFonts w:hint="eastAsia" w:ascii="仿宋" w:hAnsi="仿宋" w:eastAsia="仿宋" w:cs="仿宋"/>
          <w:sz w:val="32"/>
          <w:lang w:val="en-US" w:eastAsia="zh-CN"/>
        </w:rPr>
        <w:t>根据项目需要，要求投标人按照以下三种体检套餐类型分别进行报价。投标人所提供的体检套餐中必须包含以下的体检项目及内容，漏项的将做无效处理。不能提供三种体检套餐的按照无效处理。报价超过体检标准价的按照无效处理。</w:t>
      </w:r>
    </w:p>
    <w:p>
      <w:pPr>
        <w:rPr>
          <w:rFonts w:hint="eastAsia" w:ascii="仿宋" w:hAnsi="仿宋" w:eastAsia="仿宋" w:cs="仿宋"/>
          <w:sz w:val="32"/>
          <w:lang w:val="en-US" w:eastAsia="zh-CN"/>
        </w:rPr>
      </w:pPr>
      <w:r>
        <w:rPr>
          <w:rFonts w:hint="eastAsia" w:ascii="仿宋" w:hAnsi="仿宋" w:eastAsia="仿宋" w:cs="仿宋"/>
          <w:sz w:val="32"/>
          <w:lang w:val="en-US" w:eastAsia="zh-CN"/>
        </w:rPr>
        <w:br w:type="page"/>
      </w:r>
    </w:p>
    <w:tbl>
      <w:tblPr>
        <w:tblStyle w:val="7"/>
        <w:tblW w:w="8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360"/>
        <w:gridCol w:w="6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3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8"/>
                <w:szCs w:val="28"/>
                <w:u w:val="none"/>
                <w:lang w:val="en-US" w:eastAsia="zh-CN" w:bidi="ar"/>
              </w:rPr>
              <w:t>套餐一：消化系统套餐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13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体检项目</w:t>
            </w:r>
          </w:p>
        </w:tc>
        <w:tc>
          <w:tcPr>
            <w:tcW w:w="617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auto"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一般检查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一般情况</w:t>
            </w:r>
          </w:p>
        </w:tc>
        <w:tc>
          <w:tcPr>
            <w:tcW w:w="61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通过仪器测量人体身高、体重、体重指数、腰臀比、血压，科学判断体重是否标准、体脂肪是否超标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内科</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通过视、触、叩、听四部检查法，了解心、肺、肝、脾、肾等重要脏器的基本状况，发现常见疾病的相关征兆，或初步排除常见疾病。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外科</w:t>
            </w:r>
          </w:p>
        </w:tc>
        <w:tc>
          <w:tcPr>
            <w:tcW w:w="6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通过检查皮肤、浅表淋巴结、甲状腺、脊柱、四肢、肛门等脏器基本情况，发现常见外科疾病的相关征兆，或初步排除外科常见疾病。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实验室检查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血常规五分类</w:t>
            </w:r>
          </w:p>
        </w:tc>
        <w:tc>
          <w:tcPr>
            <w:tcW w:w="61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通过检测血液来反映身体状况，如：血液病、贫血、感染等。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尿常规</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11项+镜检，用于检查泌尿系统疾病，如泌尿系统感染、肿瘤、结石及了解肾功能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肝功全项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谷丙转氨酶 ALT</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是肝细胞受损害最灵敏的检查项目，是反应肝功能最基本的指标。其增高见于急、慢性病毒性肝炎、酒精性肝炎、脂肪肝、肝硬化等肝病。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谷草转氨酶AST </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是反应肝细胞损害的另一个常用指标，在药物等中毒性肝损害、肝癌及心肌损害时增高幅度可大于ALT。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谷氨酰转肽酶GGT</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是反映肝细胞损害的酶，血液中增高见于各种肝胆疾患、肝硬化、肝癌、急性胰腺炎、肿瘤、嗜酒及酒精肝硬化。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碱性磷酸酶ALP</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健康体检中常作为肝功能检测的另一项常用指标，也有助于骨代谢问题的筛查。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血脂四项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总胆固醇TCH</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用于动脉硬化的预防、发病估计、疗效观察，升高见于心、脑血管疾病、糖尿病、长期吸烟、饮酒、应用某些药物。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甘油三脂TG</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动脉粥样硬化的危险因素之一，受外界因素影响大，见于冠心病、动脉粥样硬化、肥胖症、糖尿病、痛风、高脂饮食等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高密度脂蛋白HDL</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高密度脂蛋白用于评价冠心病的危险性，增高能防止动脉硬化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低密度脂蛋白LDL</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低密度脂蛋白是动脉硬化的危险因子，增高与冠心病呈正向关系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肾功能</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尿素氮BUN</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判断肾小球损害的敏感指标，评估肾功能损害程度，肌酐较尿素氮敏感。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肌酐CR</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判断肾小球损害的敏感指标，评估肾功能损害程度，肌酐较尿素氮敏感。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血尿酸UA</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血尿酸（UA）是肾功能异常和某些血液病的一项指标；在健康体检中尿酸增高更多见于嘌呤代谢异常者，长期高尿酸将导致痛风。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血糖</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空腹血糖</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血糖是筛查糖代谢紊乱和诊断糖尿病的基本检测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甲状腺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功能三项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FT3</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增多：见于甲状腺功能亢进      减少：见于甲状腺功能减退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FT4</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增多：见于甲状腺功能亢进      减少：见于甲状腺功能减退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TSH</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增多：见于原发性甲状腺功能减退，TSH是其最灵敏的指标；  减少：见于甲状腺功能亢进妊娠、尿毒症。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胃功能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PGI</w:t>
            </w:r>
          </w:p>
        </w:tc>
        <w:tc>
          <w:tcPr>
            <w:tcW w:w="61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该检查用于量化评估胃功能及胃黏膜受损状况，幽门螺杆菌感染者的治疗效果评估，以及胃癌的早期风险筛查。血清PG（胃蛋白酶原）被认为是胃癌风险和胃粘膜状态的指征，PGR降低是胃癌和胃腺病的高危信号。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PGII</w:t>
            </w:r>
          </w:p>
        </w:tc>
        <w:tc>
          <w:tcPr>
            <w:tcW w:w="61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c>
          <w:tcPr>
            <w:tcW w:w="13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PGR</w:t>
            </w:r>
          </w:p>
        </w:tc>
        <w:tc>
          <w:tcPr>
            <w:tcW w:w="617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肿瘤筛查（7项）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甲胎蛋白定量（AFP）</w:t>
            </w:r>
          </w:p>
        </w:tc>
        <w:tc>
          <w:tcPr>
            <w:tcW w:w="61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对原发性肝癌的诊断、疗效观察和预后评估有重要的临床意义。在卵巢、胃、胰腺癌、睾丸癌等肿瘤及肝炎、肝硬化等疾病也有异常发现。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癌胚抗原定量（CEA）</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是肺癌和肠癌的首选标志物，用于肺癌、子宫、乳腺、消化系统肿瘤、肝转移癌等诊断和治疗、复发监测、判断预后。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EB病毒抗体VCA-IgA</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由EB病毒感染引起或与EB病毒感染有关的疾病主要有传染性单核细胞增多症、非洲儿童淋巴瘤（即Burkitt淋巴瘤）、鼻咽癌.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糖链抗原CA724</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胃癌首选标志物，可用于肠癌、胰腺癌、肝癌的辅助诊断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甲胎蛋白（AFP）定量</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对原发性肝癌的诊断、疗效观察和预后评估有重要的临床意义。在卵巢、胃、胰腺癌、睾丸癌等肿瘤疾病也有异常发现。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癌胚抗原（CEA）定量</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是肺癌和肠癌的首选标志物，用于肺癌、子宫、乳腺、消化系统肿瘤、肝转移癌等诊断和治疗、复发监测、判断预后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糖链抗原CA19-10</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用于胰腺癌、胆囊癌、胃癌等肿瘤的辅助诊断及疗效观察。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肝、胆、脾、胰、双肾</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对人体腹部内脏器官的状况和各种病变（如肿瘤、结石、息肉、积水、脂肪肝等）提供高清晰度的彩色动态超声图像判断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子宫、附件（女）</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通过彩色超声仪器检查更清晰地观察子宫大小、形态、结构等情况，判断有无子宫囊肿，恶性病变等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乳腺彩超</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彩色超声检查乳腺疾患准确率远远优于红外线。对乳腺增生、囊肿、纤维瘤及乳腺癌的鉴别诊断，具有安全、无创、快速的特点。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甲状腺彩超</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前列腺（男）彩超</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通过彩色超声仪器检查更清晰地观察前列腺大小、形态、结构等情况，判断有无前列腺增大、囊肿、结石，恶性病变等。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心电图（12导）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（设备品牌：日本光电）</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用于心律失常（早搏、传导障碍等）；心肌缺血、心肌梗塞、心房、心室肥大等诊断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14C幽门螺杆菌呼气试验</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幽门螺杆菌感染是慢性胃炎、消化性溃疡 的主要致病因素，是胃功能下降、胃粘膜损害的重要原因。胃幽门螺旋杆菌通过消化道传播，在人群中大量迁延感染。C-14检查运用呼气法定量检测胃幽门螺旋杆菌现症感染准状况，评估感染程度并指导治疗。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肠道菌群微生态分析</w:t>
            </w:r>
          </w:p>
        </w:tc>
        <w:tc>
          <w:tcPr>
            <w:tcW w:w="6172"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肠道菌群在生长过程中产生的代谢产物可以进入人体血液，对人体的营养、代谢和免疫都起着至关重要的作用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妇科检查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妇科基础检查</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了解外阴、阴道、宫颈、子宫、双侧输卵管及卵巢的形态、大小以及是否有炎症、肿块等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白带常规</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对于确定阴道清洁度，检查妇科炎症如霉菌性阴道炎、滴虫性阴道炎等具有重要的意义。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宫颈超薄细胞检测(TCT)</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该技术是目前国内外替代传统宫颈涂片检测宫颈癌最准确的检测技术，诊断率达92%以上，大大提高了妇女宫颈癌早期病变的检出率。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特殊设备检查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肺部CT</w:t>
            </w:r>
            <w:r>
              <w:rPr>
                <w:rFonts w:hint="eastAsia" w:ascii="宋体" w:hAnsi="宋体" w:eastAsia="宋体" w:cs="宋体"/>
                <w:b w:val="0"/>
                <w:bCs w:val="0"/>
                <w:i w:val="0"/>
                <w:iCs w:val="0"/>
                <w:color w:val="000000"/>
                <w:kern w:val="0"/>
                <w:sz w:val="21"/>
                <w:szCs w:val="21"/>
                <w:u w:val="none"/>
                <w:lang w:val="en-US" w:eastAsia="zh-CN" w:bidi="ar"/>
              </w:rPr>
              <w:br w:type="textWrapping"/>
            </w:r>
            <w:r>
              <w:rPr>
                <w:rStyle w:val="10"/>
                <w:rFonts w:hint="eastAsia" w:ascii="宋体" w:hAnsi="宋体" w:eastAsia="宋体" w:cs="宋体"/>
                <w:b w:val="0"/>
                <w:bCs w:val="0"/>
                <w:sz w:val="21"/>
                <w:szCs w:val="21"/>
                <w:lang w:val="en-US" w:eastAsia="zh-CN" w:bidi="ar"/>
              </w:rPr>
              <w:t>西门子64排低剂量</w:t>
            </w:r>
            <w:r>
              <w:rPr>
                <w:rStyle w:val="10"/>
                <w:rFonts w:hint="eastAsia" w:ascii="宋体" w:hAnsi="宋体" w:eastAsia="宋体" w:cs="宋体"/>
                <w:b w:val="0"/>
                <w:bCs w:val="0"/>
                <w:sz w:val="21"/>
                <w:szCs w:val="21"/>
                <w:lang w:val="en-US" w:eastAsia="zh-CN" w:bidi="ar"/>
              </w:rPr>
              <w:br w:type="textWrapping"/>
            </w:r>
            <w:r>
              <w:rPr>
                <w:rStyle w:val="10"/>
                <w:rFonts w:hint="eastAsia" w:ascii="宋体" w:hAnsi="宋体" w:eastAsia="宋体" w:cs="宋体"/>
                <w:b w:val="0"/>
                <w:bCs w:val="0"/>
                <w:sz w:val="21"/>
                <w:szCs w:val="21"/>
                <w:lang w:val="en-US" w:eastAsia="zh-CN" w:bidi="ar"/>
              </w:rPr>
              <w:t>螺旋式CT</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T检查肺部影像，是肺癌高危人群年度防癌筛查的首选项目；对肺部、心脏、纵膈、胸膜等部位的疾病提供精细的影像依据。相比胸片，CT三维影像和精度的提高可大大减少纵隔、心影重叠部分可疑影像的漏诊。而低剂量螺旋CT的放射剂量大幅减少，甚至低于传统胸片，应在人群中推广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营养早餐</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牛奶、面包、水果等营养丰富早餐，提供足量的早餐所需要的营养物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4460"/>
                  <wp:effectExtent l="0" t="0" r="9525" b="6350"/>
                  <wp:wrapNone/>
                  <wp:docPr id="2" name="Picture_86"/>
                  <wp:cNvGraphicFramePr/>
                  <a:graphic xmlns:a="http://schemas.openxmlformats.org/drawingml/2006/main">
                    <a:graphicData uri="http://schemas.openxmlformats.org/drawingml/2006/picture">
                      <pic:pic xmlns:pic="http://schemas.openxmlformats.org/drawingml/2006/picture">
                        <pic:nvPicPr>
                          <pic:cNvPr id="2" name="Picture_86"/>
                          <pic:cNvPicPr/>
                        </pic:nvPicPr>
                        <pic:blipFill>
                          <a:blip r:embed="rId4"/>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4460"/>
                  <wp:effectExtent l="0" t="0" r="9525" b="6350"/>
                  <wp:wrapNone/>
                  <wp:docPr id="1" name="Picture_2"/>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4"/>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9525" cy="124460"/>
                  <wp:effectExtent l="0" t="0" r="9525" b="6350"/>
                  <wp:wrapNone/>
                  <wp:docPr id="3" name="Picture_2_SpCnt_1"/>
                  <wp:cNvGraphicFramePr/>
                  <a:graphic xmlns:a="http://schemas.openxmlformats.org/drawingml/2006/main">
                    <a:graphicData uri="http://schemas.openxmlformats.org/drawingml/2006/picture">
                      <pic:pic xmlns:pic="http://schemas.openxmlformats.org/drawingml/2006/picture">
                        <pic:nvPicPr>
                          <pic:cNvPr id="3" name="Picture_2_SpCnt_1"/>
                          <pic:cNvPicPr/>
                        </pic:nvPicPr>
                        <pic:blipFill>
                          <a:blip r:embed="rId4"/>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9525" cy="124460"/>
                  <wp:effectExtent l="0" t="0" r="9525" b="6350"/>
                  <wp:wrapNone/>
                  <wp:docPr id="4" name="Picture_86_SpCnt_1"/>
                  <wp:cNvGraphicFramePr/>
                  <a:graphic xmlns:a="http://schemas.openxmlformats.org/drawingml/2006/main">
                    <a:graphicData uri="http://schemas.openxmlformats.org/drawingml/2006/picture">
                      <pic:pic xmlns:pic="http://schemas.openxmlformats.org/drawingml/2006/picture">
                        <pic:nvPicPr>
                          <pic:cNvPr id="4" name="Picture_86_SpCnt_1"/>
                          <pic:cNvPicPr/>
                        </pic:nvPicPr>
                        <pic:blipFill>
                          <a:blip r:embed="rId4"/>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lang w:val="en-US" w:eastAsia="zh-CN" w:bidi="ar"/>
              </w:rPr>
              <w:t>汇总分析</w:t>
            </w:r>
          </w:p>
        </w:tc>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由经验丰富的高年资主任医师对对各项检查进行分析总结、各项体检异常做出详细书面解答及建议等，面对面进行健康指导。</w:t>
            </w:r>
          </w:p>
        </w:tc>
      </w:tr>
    </w:tbl>
    <w:p>
      <w:pPr>
        <w:pStyle w:val="6"/>
        <w:keepNext w:val="0"/>
        <w:keepLines w:val="0"/>
        <w:widowControl/>
        <w:suppressLineNumbers w:val="0"/>
        <w:spacing w:before="0" w:beforeAutospacing="0" w:after="0" w:afterAutospacing="0" w:line="315" w:lineRule="atLeast"/>
        <w:ind w:left="270" w:right="0"/>
        <w:jc w:val="center"/>
        <w:rPr>
          <w:rFonts w:hint="eastAsia" w:ascii="黑体" w:hAnsi="黑体" w:eastAsia="黑体" w:cs="黑体"/>
          <w:spacing w:val="-8"/>
          <w:sz w:val="36"/>
          <w:szCs w:val="36"/>
          <w:lang w:val="en-US" w:eastAsia="zh-CN"/>
        </w:rPr>
        <w:sectPr>
          <w:pgSz w:w="11906" w:h="16838"/>
          <w:pgMar w:top="1440" w:right="1800" w:bottom="1440" w:left="1800" w:header="851" w:footer="992" w:gutter="0"/>
          <w:cols w:space="425" w:num="1"/>
          <w:docGrid w:type="lines" w:linePitch="312" w:charSpace="0"/>
        </w:sectPr>
      </w:pPr>
    </w:p>
    <w:tbl>
      <w:tblPr>
        <w:tblStyle w:val="7"/>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1355"/>
        <w:gridCol w:w="6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882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8"/>
                <w:szCs w:val="28"/>
                <w:u w:val="none"/>
                <w:lang w:val="en-US" w:eastAsia="zh-CN" w:bidi="ar"/>
              </w:rPr>
              <w:t>套餐二：心脑血管套餐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体检项目</w:t>
            </w:r>
          </w:p>
        </w:tc>
        <w:tc>
          <w:tcPr>
            <w:tcW w:w="646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一般检查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一般情况</w:t>
            </w:r>
          </w:p>
        </w:tc>
        <w:tc>
          <w:tcPr>
            <w:tcW w:w="64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通过仪器测量人体身高、体重、体重指数、腰臀比、血压，科学判断体重是否标准、体脂肪是否超标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内科</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通过视、触、叩、听四部检查法，了解心、肺、肝、脾、肾等重要脏器的基本状况，发现常见疾病的相关征兆，或初步排除常见疾病。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外科</w:t>
            </w:r>
          </w:p>
        </w:tc>
        <w:tc>
          <w:tcPr>
            <w:tcW w:w="64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通过检查皮肤、浅表淋巴结、甲状腺、脊柱、四肢、肛门等脏器基本情况，发现常见外科疾病的相关征兆，或初步排除外科常见疾病。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实验室检查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35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血常规五分类</w:t>
            </w:r>
          </w:p>
        </w:tc>
        <w:tc>
          <w:tcPr>
            <w:tcW w:w="6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通过检测血液来反映身体状况，如：血液病、贫血、感染等。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尿常规</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11项+镜检，用于检查泌尿系统疾病，如泌尿系统感染、肿瘤、结石及了解肾功能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肝功全项</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谷丙转氨酶 ALT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是肝细胞受损害最灵敏的检查项目，是反应肝功能最基本的指标。其增高见于急、慢性病毒性肝炎、酒精性肝炎、脂肪肝、肝硬化等肝病。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谷草转氨酶AST </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是反应肝细胞损害的另一个常用指标，在药物等中毒性肝损害、肝癌及心肌损害时增高幅度可大于ALT。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谷氨酰转肽酶GGT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是反映肝细胞损害的酶，血液中增高见于各种肝胆疾患、肝硬化、肝癌、急性胰腺炎、肿瘤、嗜酒及酒精肝硬化。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碱性磷酸酶ALP</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健康体检中常作为肝功能检测的另一项常用指标，也有助于骨代谢问题的筛查。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总胆红素+直接胆红素+间接胆红素(TBIL+DBIL+BIL )</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胆红素是反应胆红素代谢和肝功能的常用生化指标。DB增高提示阻塞性黄疸，IB增高提示溶血性黄疸，TB、DB均增高，提示肝细胞性黄疸。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总蛋白、白蛋白、球蛋白TP+ALB+G</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反映肝脏蛋白合成能力，异常见于慢性肝病、肝硬化，因此常作为综合评估肝功能的指标，临床上多用作慢性肝病的疗效观察和预后判断。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总胆汁酸（TBA)）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反映肝实质损伤的一项重要指标，健康体检中可作为肝功能评估和肝胆疾病筛查的有效手段。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血脂四项</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总胆固醇TCH</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用于动脉硬化的预防、发病估计、疗效观察，升高见于心、脑血管疾病、糖尿病、长期吸烟、饮酒、应用某些药物。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甘油三脂TG</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动脉粥样硬化的危险因素之一，受外界因素影响大，见于冠心病、动脉粥样硬化、肥胖症、糖尿病、痛风、高脂饮食等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高密度脂蛋白HDL</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高密度脂蛋白用于评价冠心病的危险性，增高能防止动脉硬化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低密度脂蛋白LDL</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低密度脂蛋白是动脉硬化的危险因子，增高与冠心病呈正向关系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肾功能</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尿素氮BUN</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判断肾小球损害的敏感指标，评估肾功能损害程度，肌酐较尿素氮敏感。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肌酐CR</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判断肾小球损害的敏感指标，评估肾功能损害程度，肌酐较尿素氮敏感。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血尿酸UA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血尿酸（UA）是肾功能异常和某些血液病的一项指标；在健康体检中尿酸增高更多见于嘌呤代谢异常者，长期高尿酸将导致痛风。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血糖</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空腹血糖</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血糖是筛查糖代谢紊乱和诊断糖尿病的基本检测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糖化血红蛋白</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测量糖化血红蛋白占总血红蛋白的比例，可反映检查前8～12周血糖的平均水平。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心脑血管</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同型半胱氨酸（HCY）</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同型半胱氨酸是人体氨基酸代谢失衡的中间产物，血同型半胱氨酸是心脑血管疾病的直接危险因素之一，同时是人体重要的健康指标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甲状腺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功能三项</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FT3</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增多：见于甲状腺功能亢进      减少：见于甲状腺功能减退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FT4</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增多：见于甲状腺功能亢进      减少：见于甲状腺功能减退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TSH</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增多：见于原发性甲状腺功能减退，TSH是其最灵敏的指标；  减少：见于甲状腺功能亢进妊娠、尿毒症。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胃功能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三项</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PGI</w:t>
            </w:r>
          </w:p>
        </w:tc>
        <w:tc>
          <w:tcPr>
            <w:tcW w:w="64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该检查用于量化评估胃功能及胃黏膜受损状况，幽门螺杆菌感染者的治疗效果评估，以及胃癌的早期风险筛查。血清PG（胃蛋白酶原）被认为是胃癌风险和胃粘膜状态的指征，PGR降低是胃癌和胃腺病的高危信号。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PGII</w:t>
            </w:r>
          </w:p>
        </w:tc>
        <w:tc>
          <w:tcPr>
            <w:tcW w:w="646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PGR</w:t>
            </w:r>
          </w:p>
        </w:tc>
        <w:tc>
          <w:tcPr>
            <w:tcW w:w="646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肿瘤筛查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甲胎蛋白定量（AFP）</w:t>
            </w:r>
          </w:p>
        </w:tc>
        <w:tc>
          <w:tcPr>
            <w:tcW w:w="6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对原发性肝癌的诊断、疗效观察和预后评估有重要的临床意义。在卵巢、胃、胰腺癌、睾丸癌等肿瘤及肝炎、肝硬化等疾病也有异常发现。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癌胚抗原定量（CEA）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是肺癌和肠癌的首选标志物，用于肺癌、子宫、乳腺、消化系统肿瘤、肝转移癌等诊断和治疗、复发监测、判断预后。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EB病毒抗体VCA-IgA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由EB病毒感染引起或与EB病毒感染有关的疾病主要有传染性单核细胞增多症、非洲儿童淋巴瘤（即Burkitt淋巴瘤）、鼻咽癌.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35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糖链抗原CA125</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卵巢癌、子宫内膜、肝、肺、结直肠、胃肠诊断和治疗监测。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人附睾分泌蛋白（HE4）</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是一种新的卵巢癌肿瘤标志物。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鳞状细胞癌相关抗原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SCCA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是鳞状上皮癌的标志物，用于鳞癌的辅助诊断和疗效检测，特异性较高，显著增高应怀疑鳞状上皮癌。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53" w:type="dxa"/>
            <w:gridSpan w:val="2"/>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前列腺特异性抗原</w:t>
            </w:r>
          </w:p>
        </w:tc>
        <w:tc>
          <w:tcPr>
            <w:tcW w:w="6467"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val="0"/>
                <w:bCs w:val="0"/>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肝、胆、脾、胰、双肾</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对人体腹部内脏器官的状况和各种病变（如肿瘤、结石、息肉、积水、脂肪肝等）提供高清晰度的彩色动态超声图像判断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子宫、附件（女）</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通过彩色超声仪器检查更清晰地观察子宫大小、形态、结构等情况，判断有无子宫囊肿，恶性病变等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乳腺彩超</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彩色超声检查乳腺疾患准确率远远优于红外线。对乳腺增生、囊肿、纤维瘤及乳腺癌的鉴别诊断，具有安全、无创、快速的特点。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甲状腺彩超</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前列腺（男）彩超</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通过彩色超声仪器检查更清晰地观察前列腺大小、形态、结构等情况，判断有无前列腺增大、囊肿、结石，恶性病变等。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心电图（12导）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（设备品牌：日本光电）</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用于心律失常（早搏、传导障碍等）；心肌缺血、心肌梗塞、心房、心室肥大等诊断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14C幽门螺杆菌呼气试验</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幽门螺杆菌感染是慢性胃炎、消化性溃疡 的主要致病因素，是胃功能下降、胃粘膜损害的重要原因。胃幽门螺旋杆菌通过消化道传播，在人群中大量迁延感染。C-14检查运用呼气法定量检测胃幽门螺旋杆菌现症感染准状况，评估感染程度并指导治疗。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早期动脉硬化检测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（品牌：欧姆龙）</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为测试者提供独立的健康分析数据，帮助人们对心脑血管疾病的早预防、早检测、早诊断，早治疗提供依据。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妇科检查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妇科基础检查</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了解外阴、阴道、宫颈、子宫、双侧输卵管及卵巢的形态、大小以及是否有炎症、肿块等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白带常规</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对于确定阴道清洁度，检查妇科炎症如霉菌性阴道炎、滴虫性阴道炎等具有重要的意义。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宫颈超薄细胞检测(TCT)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该技术是目前国内外替代传统宫颈涂片检测宫颈癌最准确的检测技术，诊断率达92%以上，大大提高了妇女宫颈癌早期病变的检出率。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特殊设备检查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肺部CT</w:t>
            </w:r>
            <w:r>
              <w:rPr>
                <w:rFonts w:hint="eastAsia" w:ascii="宋体" w:hAnsi="宋体" w:eastAsia="宋体" w:cs="宋体"/>
                <w:b w:val="0"/>
                <w:bCs w:val="0"/>
                <w:i w:val="0"/>
                <w:iCs w:val="0"/>
                <w:color w:val="000000"/>
                <w:kern w:val="0"/>
                <w:sz w:val="21"/>
                <w:szCs w:val="21"/>
                <w:u w:val="none"/>
                <w:lang w:val="en-US" w:eastAsia="zh-CN" w:bidi="ar"/>
              </w:rPr>
              <w:br w:type="textWrapping"/>
            </w:r>
            <w:r>
              <w:rPr>
                <w:rStyle w:val="11"/>
                <w:rFonts w:hint="eastAsia" w:ascii="宋体" w:hAnsi="宋体" w:eastAsia="宋体" w:cs="宋体"/>
                <w:b w:val="0"/>
                <w:bCs w:val="0"/>
                <w:sz w:val="21"/>
                <w:szCs w:val="21"/>
                <w:lang w:val="en-US" w:eastAsia="zh-CN" w:bidi="ar"/>
              </w:rPr>
              <w:t>西门子64排低剂量</w:t>
            </w:r>
            <w:r>
              <w:rPr>
                <w:rStyle w:val="11"/>
                <w:rFonts w:hint="eastAsia" w:ascii="宋体" w:hAnsi="宋体" w:eastAsia="宋体" w:cs="宋体"/>
                <w:b w:val="0"/>
                <w:bCs w:val="0"/>
                <w:sz w:val="21"/>
                <w:szCs w:val="21"/>
                <w:lang w:val="en-US" w:eastAsia="zh-CN" w:bidi="ar"/>
              </w:rPr>
              <w:br w:type="textWrapping"/>
            </w:r>
            <w:r>
              <w:rPr>
                <w:rStyle w:val="11"/>
                <w:rFonts w:hint="eastAsia" w:ascii="宋体" w:hAnsi="宋体" w:eastAsia="宋体" w:cs="宋体"/>
                <w:b w:val="0"/>
                <w:bCs w:val="0"/>
                <w:sz w:val="21"/>
                <w:szCs w:val="21"/>
                <w:lang w:val="en-US" w:eastAsia="zh-CN" w:bidi="ar"/>
              </w:rPr>
              <w:t>螺旋式CT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T检查肺部影像，是肺癌高危人群年度防癌筛查的首选项目；对肺部、心脏、纵膈、胸膜等部位的疾病提供精细的影像依据。相比胸片，CT三维影像和精度的提高可大大减少纵隔、心影重叠部分可疑影像的漏诊。而低剂量螺旋CT的放射剂量大幅减少，甚至低于传统胸片，应在人群中推广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脑血管成像MRI</w:t>
            </w:r>
            <w:r>
              <w:rPr>
                <w:rFonts w:hint="eastAsia" w:ascii="宋体" w:hAnsi="宋体" w:eastAsia="宋体" w:cs="宋体"/>
                <w:b w:val="0"/>
                <w:bCs w:val="0"/>
                <w:i w:val="0"/>
                <w:iCs w:val="0"/>
                <w:color w:val="000000"/>
                <w:kern w:val="0"/>
                <w:sz w:val="21"/>
                <w:szCs w:val="21"/>
                <w:u w:val="none"/>
                <w:lang w:val="en-US" w:eastAsia="zh-CN" w:bidi="ar"/>
              </w:rPr>
              <w:br w:type="textWrapping"/>
            </w:r>
            <w:r>
              <w:rPr>
                <w:rStyle w:val="12"/>
                <w:rFonts w:hint="eastAsia" w:ascii="宋体" w:hAnsi="宋体" w:eastAsia="宋体" w:cs="宋体"/>
                <w:b w:val="0"/>
                <w:bCs w:val="0"/>
                <w:sz w:val="21"/>
                <w:szCs w:val="21"/>
                <w:lang w:val="en-US" w:eastAsia="zh-CN" w:bidi="ar"/>
              </w:rPr>
              <w:t>飞利浦/东芝</w:t>
            </w:r>
            <w:r>
              <w:rPr>
                <w:rStyle w:val="12"/>
                <w:rFonts w:hint="eastAsia" w:ascii="宋体" w:hAnsi="宋体" w:eastAsia="宋体" w:cs="宋体"/>
                <w:b w:val="0"/>
                <w:bCs w:val="0"/>
                <w:sz w:val="21"/>
                <w:szCs w:val="21"/>
                <w:lang w:val="en-US" w:eastAsia="zh-CN" w:bidi="ar"/>
              </w:rPr>
              <w:br w:type="textWrapping"/>
            </w:r>
            <w:r>
              <w:rPr>
                <w:rStyle w:val="12"/>
                <w:rFonts w:hint="eastAsia" w:ascii="宋体" w:hAnsi="宋体" w:eastAsia="宋体" w:cs="宋体"/>
                <w:b w:val="0"/>
                <w:bCs w:val="0"/>
                <w:sz w:val="21"/>
                <w:szCs w:val="21"/>
                <w:lang w:val="en-US" w:eastAsia="zh-CN" w:bidi="ar"/>
              </w:rPr>
              <w:t>1.5T超导核磁</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头部MRI常作为脑血管疾病相关器质性病变（如脑萎缩）的直接评估手段。其无辐射危害，适合在对高危人群进行肿瘤影像学筛查。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营养早餐</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牛奶、面包、水果等营养丰富早餐，提供足量的早餐所需要的营养物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4460"/>
                  <wp:effectExtent l="0" t="0" r="9525" b="6350"/>
                  <wp:wrapNone/>
                  <wp:docPr id="13" name="Picture_86"/>
                  <wp:cNvGraphicFramePr/>
                  <a:graphic xmlns:a="http://schemas.openxmlformats.org/drawingml/2006/main">
                    <a:graphicData uri="http://schemas.openxmlformats.org/drawingml/2006/picture">
                      <pic:pic xmlns:pic="http://schemas.openxmlformats.org/drawingml/2006/picture">
                        <pic:nvPicPr>
                          <pic:cNvPr id="13" name="Picture_86"/>
                          <pic:cNvPicPr/>
                        </pic:nvPicPr>
                        <pic:blipFill>
                          <a:blip r:embed="rId5"/>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4460"/>
                  <wp:effectExtent l="0" t="0" r="9525" b="6350"/>
                  <wp:wrapNone/>
                  <wp:docPr id="15" name="Picture_2"/>
                  <wp:cNvGraphicFramePr/>
                  <a:graphic xmlns:a="http://schemas.openxmlformats.org/drawingml/2006/main">
                    <a:graphicData uri="http://schemas.openxmlformats.org/drawingml/2006/picture">
                      <pic:pic xmlns:pic="http://schemas.openxmlformats.org/drawingml/2006/picture">
                        <pic:nvPicPr>
                          <pic:cNvPr id="15" name="Picture_2"/>
                          <pic:cNvPicPr/>
                        </pic:nvPicPr>
                        <pic:blipFill>
                          <a:blip r:embed="rId5"/>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9525" cy="124460"/>
                  <wp:effectExtent l="0" t="0" r="9525" b="6350"/>
                  <wp:wrapNone/>
                  <wp:docPr id="14" name="Picture_2_SpCnt_1"/>
                  <wp:cNvGraphicFramePr/>
                  <a:graphic xmlns:a="http://schemas.openxmlformats.org/drawingml/2006/main">
                    <a:graphicData uri="http://schemas.openxmlformats.org/drawingml/2006/picture">
                      <pic:pic xmlns:pic="http://schemas.openxmlformats.org/drawingml/2006/picture">
                        <pic:nvPicPr>
                          <pic:cNvPr id="14" name="Picture_2_SpCnt_1"/>
                          <pic:cNvPicPr/>
                        </pic:nvPicPr>
                        <pic:blipFill>
                          <a:blip r:embed="rId5"/>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9525" cy="124460"/>
                  <wp:effectExtent l="0" t="0" r="9525" b="6350"/>
                  <wp:wrapNone/>
                  <wp:docPr id="16" name="Picture_86_SpCnt_1"/>
                  <wp:cNvGraphicFramePr/>
                  <a:graphic xmlns:a="http://schemas.openxmlformats.org/drawingml/2006/main">
                    <a:graphicData uri="http://schemas.openxmlformats.org/drawingml/2006/picture">
                      <pic:pic xmlns:pic="http://schemas.openxmlformats.org/drawingml/2006/picture">
                        <pic:nvPicPr>
                          <pic:cNvPr id="16" name="Picture_86_SpCnt_1"/>
                          <pic:cNvPicPr/>
                        </pic:nvPicPr>
                        <pic:blipFill>
                          <a:blip r:embed="rId5"/>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b w:val="0"/>
                <w:bCs w:val="0"/>
                <w:i w:val="0"/>
                <w:iCs w:val="0"/>
                <w:color w:val="000000"/>
                <w:kern w:val="0"/>
                <w:sz w:val="21"/>
                <w:szCs w:val="21"/>
                <w:u w:val="none"/>
                <w:lang w:val="en-US" w:eastAsia="zh-CN" w:bidi="ar"/>
              </w:rPr>
              <w:t>汇总分析</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由经验丰富的高年资主任医师对对各项检查进行分析总结、各项体检异常做出详细书面解答及建议等，面对面进行健康指导。</w:t>
            </w:r>
          </w:p>
        </w:tc>
      </w:tr>
    </w:tbl>
    <w:p>
      <w:pPr>
        <w:pStyle w:val="6"/>
        <w:keepNext w:val="0"/>
        <w:keepLines w:val="0"/>
        <w:widowControl/>
        <w:suppressLineNumbers w:val="0"/>
        <w:spacing w:before="0" w:beforeAutospacing="0" w:after="0" w:afterAutospacing="0" w:line="315" w:lineRule="atLeast"/>
        <w:ind w:right="0"/>
        <w:jc w:val="both"/>
        <w:rPr>
          <w:rFonts w:hint="eastAsia" w:ascii="黑体" w:hAnsi="黑体" w:eastAsia="黑体" w:cs="黑体"/>
          <w:spacing w:val="-8"/>
          <w:sz w:val="36"/>
          <w:szCs w:val="36"/>
          <w:lang w:val="en-US" w:eastAsia="zh-CN"/>
        </w:rPr>
        <w:sectPr>
          <w:pgSz w:w="11906" w:h="16838"/>
          <w:pgMar w:top="1440" w:right="1800" w:bottom="1440" w:left="1800" w:header="851" w:footer="992" w:gutter="0"/>
          <w:cols w:space="425" w:num="1"/>
          <w:docGrid w:type="lines" w:linePitch="312" w:charSpace="0"/>
        </w:sectPr>
      </w:pPr>
    </w:p>
    <w:tbl>
      <w:tblPr>
        <w:tblStyle w:val="7"/>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1354"/>
        <w:gridCol w:w="6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套餐三：肿瘤套餐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体检项目</w:t>
            </w:r>
          </w:p>
        </w:tc>
        <w:tc>
          <w:tcPr>
            <w:tcW w:w="64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一般情况</w:t>
            </w:r>
          </w:p>
        </w:tc>
        <w:tc>
          <w:tcPr>
            <w:tcW w:w="6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通过仪器测量人体身高、体重、体重指数、腰臀比、血压，科学判断体重是否标准、体脂肪是否超标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内科</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通过视、触、叩、听四部检查法，了解心、肺、肝、脾、肾等重要脏器的基本状况，发现常见疾病的相关征兆，或初步排除常见疾病。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35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外科</w:t>
            </w:r>
          </w:p>
        </w:tc>
        <w:tc>
          <w:tcPr>
            <w:tcW w:w="64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通过检查皮肤、浅表淋巴结、甲状腺、脊柱、四肢、肛门等脏器基本情况，发现常见外科疾病的相关征兆，或初步排除外科常见疾病。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35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血常规五分类</w:t>
            </w:r>
          </w:p>
        </w:tc>
        <w:tc>
          <w:tcPr>
            <w:tcW w:w="6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通过检测血液来反映身体状况，如：血液病、贫血、感染等。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尿常规</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11项+镜检，用于检查泌尿系统疾病，如泌尿系统感染、肿瘤、结石及了解肾功能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肝功能</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谷丙转氨酶 ALT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是肝细胞受损害最灵敏的检查项目，是反应肝功能最基本的指标。其增高见于急、慢性病毒性肝炎、酒精性肝炎、脂肪肝、肝硬化等肝病。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谷草转氨酶AST </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是反应肝细胞损害的另一个常用指标，在药物等中毒性肝损害、肝癌及心肌损害时增高幅度可大于ALT。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谷氨酰转肽酶GGT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是反映肝细胞损害的酶，血液中增高见于各种肝胆疾患、肝硬化、肝癌、急性胰腺炎、肿瘤、嗜酒及酒精肝硬化。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碱性磷酸酶ALP</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健康体检中常作为肝功能检测的另一项常用指标，也有助于骨代谢问题的筛查。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总胆红素+直接胆红素+间接胆红素(TBIL+DBIL+BIL )</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胆红素是反应胆红素代谢和肝功能的常用生化指标。DB增高提示阻塞性黄疸，IB增高提示溶血性黄疸，TB、DB均增高，提示肝细胞性黄疸。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总蛋白、白蛋白、球蛋白TP+ALB+G</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反映肝脏蛋白合成能力，异常见于慢性肝病、肝硬化，因此常作为综合评估肝功能的指标，临床上多用作慢性肝病的疗效观察和预后判断。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总胆汁酸（TBA)）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反映肝实质损伤的一项重要指标，健康体检中可作为肝功能评估和肝胆疾病筛查的有效手段。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血脂四项</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总胆固醇TCH</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用于动脉硬化的预防、发病估计、疗效观察，升高见于心、脑血管疾病、糖尿病、长期吸烟、饮酒、应用某些药物。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甘油三脂TG</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动脉粥样硬化的危险因素之一，受外界因素影响大，见于冠心病、动脉粥样硬化、肥胖症、糖尿病、痛风、高脂饮食等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高密度脂蛋白HDL</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高密度脂蛋白用于评价冠心病的危险性，增高能防止动脉硬化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低密度脂蛋白LDL</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低密度脂蛋白是动脉硬化的危险因子，增高与冠心病呈正向关系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肾功能</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尿素氮BUN</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判断肾小球损害的敏感指标，评估肾功能损害程度，肌酐较尿素氮敏感。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肌酐CR</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判断肾小球损害的敏感指标，评估肾功能损害程度，肌酐较尿素氮敏感。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血尿酸UA</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血尿酸（UA）是肾功能异常和某些血液病的一项指标；在健康体检中尿酸增高更多见于嘌呤代谢异常者，长期高尿酸将导致痛风。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血糖</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空腹血糖</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血糖是筛查糖代谢紊乱和诊断糖尿病的基本检测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糖化血红蛋白</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测量糖化血红蛋白占总血红蛋白的比例，可反映检查前8～12周血糖的平均水平。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心脑血管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同型半胱氨酸（HCY）</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同型半胱氨酸是人体氨基酸代谢失衡的中间产物，血同型半胱氨酸是心脑血管疾病的直接危险因素之一，同时是人体重要的健康指标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功能三项</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FT3</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增多：见于甲状腺功能亢进      减少：见于甲状腺功能减退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FT4</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增多：见于甲状腺功能亢进      减少：见于甲状腺功能减退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TSH</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增多：见于原发性甲状腺功能减退，TSH是其最灵敏的指标；  减少：见于甲状腺功能亢进妊娠、尿毒症。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三项</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PGI</w:t>
            </w:r>
          </w:p>
        </w:tc>
        <w:tc>
          <w:tcPr>
            <w:tcW w:w="64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该检查用于量化评估胃功能及胃黏膜受损状况，幽门螺杆菌感染者的治疗效果评估，以及胃癌的早期风险筛查。血清PG（胃蛋白酶原）被认为是胃癌风险和胃粘膜状态的指征，PGR降低是胃癌和胃腺病的高危信号。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PGII</w:t>
            </w:r>
          </w:p>
        </w:tc>
        <w:tc>
          <w:tcPr>
            <w:tcW w:w="646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PGR</w:t>
            </w:r>
          </w:p>
        </w:tc>
        <w:tc>
          <w:tcPr>
            <w:tcW w:w="6467"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肿瘤筛查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甲胎蛋白（AFP）定量</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对原发性肝癌的诊断、疗效观察和预后评估有重要的临床意义。在卵巢、胃、胰腺癌、睾丸癌等肿瘤疾病也有异常发现。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癌胚抗原（CEA）定量</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是肺癌和肠癌的首选标志物，用于肺癌、子宫、乳腺、消化系统肿瘤、肝转移癌等诊断和治疗、复发监测、判断预后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糖链抗原CA19-9</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用于胰腺癌、胆囊癌、胃癌等肿瘤的辅助诊断及疗效观察。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恶性肿瘤特异性生长因子</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早期肿瘤发生的筛查，具有广谱、特异性高、早期无定位特点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铁蛋白</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增高可见于肝癌、肺癌、胰癌、白血病等时癌细胞合成的增加，或肝功能下降清除铁蛋白障碍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胃泌素释放肽前体</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对小细胞肺癌有特异性诊断价值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细胞角蛋白(Cyfra21-1）</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细胞角蛋白20片段测定，对肺癌、乳腺、卵巢、食道、胃肠道癌的早期诊断、疗效监测和预后判断均有重要意义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肝、胆、脾、胰、双肾</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对人体腹部内脏器官的状况和各种病变（如肿瘤、结石、息肉、积水、脂肪肝等）提供高清晰度的彩色动态超声图像判断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子宫、附件（女）</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通过彩色超声仪器检查更清晰地观察子宫大小、形态、结构等情况，判断有无子宫囊肿，恶性病变等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乳腺彩超</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彩色超声检查乳腺疾患准确率远远优于红外线。对乳腺增生、囊肿、纤维瘤及乳腺癌的鉴别诊断，具有安全、无创、快速的特点。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甲状腺彩超</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应用超声技术检查甲状腺疾患，如：肿大、炎症、腺瘤及癌变等，简便快捷，准确性较高。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前列腺（男）彩超</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通过彩色超声仪器检查更清晰地观察前列腺大小、形态、结构等情况，判断有无前列腺增大、囊肿、结石，恶性病变等。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肝纤维化  </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以超声检查为基础，通过肝硬度测量，对慢性肝病患者作出肝纤维化的诊断，并由此</w:t>
            </w:r>
            <w:r>
              <w:rPr>
                <w:rStyle w:val="13"/>
                <w:sz w:val="21"/>
                <w:szCs w:val="21"/>
                <w:lang w:val="en-US" w:eastAsia="zh-CN" w:bidi="ar"/>
              </w:rPr>
              <w:t>给出数字化分级。有无创、快速、可反复进行等特点</w:t>
            </w:r>
            <w:r>
              <w:rPr>
                <w:rStyle w:val="14"/>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心电图（12导）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（设备品牌：日本光电）</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用于心律失常（早搏、传导障碍等）；心肌缺血、心肌梗塞、心房、心室肥大等诊断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14C幽门螺杆菌呼气试验</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幽门螺杆菌感染是慢性胃炎、消化性溃疡 的主要致病因素，是胃功能下降、胃粘膜损害的重要原因。胃幽门螺旋杆菌通过消化道传播，在人群中大量迁延感染。C-14检查运用呼气法定量检测胃幽门螺旋杆菌现症感染准状况，评估感染程度并指导治疗。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妇科基础检查</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了解外阴、阴道、宫颈、子宫、双侧输卵管及卵巢的形态、大小以及是否有炎症、肿块等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白带常规</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对于确定阴道清洁度，检查妇科炎症如霉菌性阴道炎、滴虫性阴道炎等具有重要的意义。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宫颈超薄细胞检测(TCT)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该技术是目前国内外替代传统宫颈涂片检测宫颈癌最准确的检测技术，诊断率达92%以上，大大提高了妇女宫颈癌早期病变的检出率。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特殊设备检查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肺部CT</w:t>
            </w:r>
            <w:r>
              <w:rPr>
                <w:rFonts w:hint="eastAsia" w:ascii="宋体" w:hAnsi="宋体" w:eastAsia="宋体" w:cs="宋体"/>
                <w:i w:val="0"/>
                <w:iCs w:val="0"/>
                <w:color w:val="000000"/>
                <w:kern w:val="0"/>
                <w:sz w:val="21"/>
                <w:szCs w:val="21"/>
                <w:u w:val="none"/>
                <w:lang w:val="en-US" w:eastAsia="zh-CN" w:bidi="ar"/>
              </w:rPr>
              <w:br w:type="textWrapping"/>
            </w:r>
            <w:r>
              <w:rPr>
                <w:rStyle w:val="15"/>
                <w:sz w:val="21"/>
                <w:szCs w:val="21"/>
                <w:lang w:val="en-US" w:eastAsia="zh-CN" w:bidi="ar"/>
              </w:rPr>
              <w:t>西门子64排低剂量</w:t>
            </w:r>
            <w:r>
              <w:rPr>
                <w:rStyle w:val="15"/>
                <w:sz w:val="21"/>
                <w:szCs w:val="21"/>
                <w:lang w:val="en-US" w:eastAsia="zh-CN" w:bidi="ar"/>
              </w:rPr>
              <w:br w:type="textWrapping"/>
            </w:r>
            <w:r>
              <w:rPr>
                <w:rStyle w:val="15"/>
                <w:sz w:val="21"/>
                <w:szCs w:val="21"/>
                <w:lang w:val="en-US" w:eastAsia="zh-CN" w:bidi="ar"/>
              </w:rPr>
              <w:t>螺旋式CT</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检查肺部影像，是肺癌高危人群年度防癌筛查的首选项目；对肺部、心脏、纵膈、胸膜等部位的疾病提供精细的影像依据。相比胸片，CT三维影像和精度的提高可大大减少纵隔、心影重叠部分可疑影像的漏诊。而低剂量螺旋CT的放射剂量大幅减少，甚至低于传统胸片，应在人群中推广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2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营养早餐</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牛奶、面包、水果等营养丰富早餐，提供足量的营养物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4460"/>
                  <wp:effectExtent l="0" t="0" r="9525" b="6350"/>
                  <wp:wrapNone/>
                  <wp:docPr id="17" name="Picture_86"/>
                  <wp:cNvGraphicFramePr/>
                  <a:graphic xmlns:a="http://schemas.openxmlformats.org/drawingml/2006/main">
                    <a:graphicData uri="http://schemas.openxmlformats.org/drawingml/2006/picture">
                      <pic:pic xmlns:pic="http://schemas.openxmlformats.org/drawingml/2006/picture">
                        <pic:nvPicPr>
                          <pic:cNvPr id="17" name="Picture_86"/>
                          <pic:cNvPicPr/>
                        </pic:nvPicPr>
                        <pic:blipFill>
                          <a:blip r:embed="rId6"/>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4460"/>
                  <wp:effectExtent l="0" t="0" r="9525" b="6350"/>
                  <wp:wrapNone/>
                  <wp:docPr id="18" name="Picture_2"/>
                  <wp:cNvGraphicFramePr/>
                  <a:graphic xmlns:a="http://schemas.openxmlformats.org/drawingml/2006/main">
                    <a:graphicData uri="http://schemas.openxmlformats.org/drawingml/2006/picture">
                      <pic:pic xmlns:pic="http://schemas.openxmlformats.org/drawingml/2006/picture">
                        <pic:nvPicPr>
                          <pic:cNvPr id="18" name="Picture_2"/>
                          <pic:cNvPicPr/>
                        </pic:nvPicPr>
                        <pic:blipFill>
                          <a:blip r:embed="rId6"/>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9525" cy="124460"/>
                  <wp:effectExtent l="0" t="0" r="9525" b="6350"/>
                  <wp:wrapNone/>
                  <wp:docPr id="20" name="Picture_86_SpCnt_1"/>
                  <wp:cNvGraphicFramePr/>
                  <a:graphic xmlns:a="http://schemas.openxmlformats.org/drawingml/2006/main">
                    <a:graphicData uri="http://schemas.openxmlformats.org/drawingml/2006/picture">
                      <pic:pic xmlns:pic="http://schemas.openxmlformats.org/drawingml/2006/picture">
                        <pic:nvPicPr>
                          <pic:cNvPr id="20" name="Picture_86_SpCnt_1"/>
                          <pic:cNvPicPr/>
                        </pic:nvPicPr>
                        <pic:blipFill>
                          <a:blip r:embed="rId6"/>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9525" cy="124460"/>
                  <wp:effectExtent l="0" t="0" r="9525" b="6350"/>
                  <wp:wrapNone/>
                  <wp:docPr id="19" name="Picture_2_SpCnt_1"/>
                  <wp:cNvGraphicFramePr/>
                  <a:graphic xmlns:a="http://schemas.openxmlformats.org/drawingml/2006/main">
                    <a:graphicData uri="http://schemas.openxmlformats.org/drawingml/2006/picture">
                      <pic:pic xmlns:pic="http://schemas.openxmlformats.org/drawingml/2006/picture">
                        <pic:nvPicPr>
                          <pic:cNvPr id="19" name="Picture_2_SpCnt_1"/>
                          <pic:cNvPicPr/>
                        </pic:nvPicPr>
                        <pic:blipFill>
                          <a:blip r:embed="rId6"/>
                          <a:stretch>
                            <a:fillRect/>
                          </a:stretch>
                        </pic:blipFill>
                        <pic:spPr>
                          <a:xfrm>
                            <a:off x="0" y="0"/>
                            <a:ext cx="9525" cy="1244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汇总分析</w:t>
            </w:r>
          </w:p>
        </w:tc>
        <w:tc>
          <w:tcPr>
            <w:tcW w:w="6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由经验丰富的高年资主任医师对对各项检查进行分析总结、各项体检异常做出详细书面解答及建议等，面对面进行健康指导。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TY3YWU3NjM5N2E5Y2I3MjMxOGQ5ZDgxOWE2YzEifQ=="/>
  </w:docVars>
  <w:rsids>
    <w:rsidRoot w:val="37715F96"/>
    <w:rsid w:val="05207271"/>
    <w:rsid w:val="25DF46AA"/>
    <w:rsid w:val="37715F96"/>
    <w:rsid w:val="42B4295E"/>
    <w:rsid w:val="43B11BEC"/>
    <w:rsid w:val="469E1A95"/>
    <w:rsid w:val="4E534E02"/>
    <w:rsid w:val="605F3945"/>
    <w:rsid w:val="61F85AD3"/>
    <w:rsid w:val="6CC95E33"/>
    <w:rsid w:val="7DC4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spacing w:beforeLines="0" w:beforeAutospacing="0" w:afterLines="0" w:afterAutospacing="0" w:line="760" w:lineRule="exact"/>
      <w:jc w:val="center"/>
      <w:outlineLvl w:val="0"/>
    </w:pPr>
    <w:rPr>
      <w:rFonts w:ascii="Tahoma" w:hAnsi="Tahoma" w:eastAsia="方正小标宋简体" w:cs="Times New Roman"/>
      <w:kern w:val="44"/>
      <w:sz w:val="44"/>
      <w:szCs w:val="22"/>
    </w:rPr>
  </w:style>
  <w:style w:type="paragraph" w:styleId="4">
    <w:name w:val="heading 2"/>
    <w:basedOn w:val="1"/>
    <w:next w:val="1"/>
    <w:semiHidden/>
    <w:unhideWhenUsed/>
    <w:qFormat/>
    <w:uiPriority w:val="0"/>
    <w:pPr>
      <w:keepNext/>
      <w:keepLines/>
      <w:spacing w:line="520" w:lineRule="exact"/>
      <w:ind w:firstLine="422" w:firstLineChars="200"/>
      <w:jc w:val="center"/>
      <w:outlineLvl w:val="1"/>
    </w:pPr>
    <w:rPr>
      <w:rFonts w:ascii="宋体" w:hAnsi="宋体" w:eastAsia="黑体" w:cs="Times New Roman"/>
      <w:bCs/>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520" w:lineRule="exact"/>
      <w:ind w:firstLine="1121" w:firstLineChars="200"/>
      <w:outlineLvl w:val="2"/>
    </w:pPr>
    <w:rPr>
      <w:rFonts w:eastAsia="仿宋" w:asciiTheme="minorAscii" w:hAnsiTheme="minorAscii"/>
      <w:b/>
      <w:sz w:val="32"/>
    </w:rPr>
  </w:style>
  <w:style w:type="paragraph" w:styleId="2">
    <w:name w:val="heading 5"/>
    <w:basedOn w:val="1"/>
    <w:next w:val="1"/>
    <w:qFormat/>
    <w:uiPriority w:val="0"/>
    <w:pPr>
      <w:keepNext/>
      <w:keepLines/>
      <w:spacing w:line="360" w:lineRule="auto"/>
      <w:outlineLvl w:val="4"/>
    </w:pPr>
    <w:rPr>
      <w:rFonts w:ascii="宋体" w:hAnsi="宋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link w:val="3"/>
    <w:qFormat/>
    <w:uiPriority w:val="0"/>
    <w:rPr>
      <w:rFonts w:ascii="Tahoma" w:hAnsi="Tahoma" w:eastAsia="方正小标宋简体" w:cs="Times New Roman"/>
      <w:kern w:val="44"/>
      <w:sz w:val="44"/>
      <w:szCs w:val="22"/>
    </w:rPr>
  </w:style>
  <w:style w:type="character" w:customStyle="1" w:styleId="10">
    <w:name w:val="font11"/>
    <w:basedOn w:val="8"/>
    <w:qFormat/>
    <w:uiPriority w:val="0"/>
    <w:rPr>
      <w:rFonts w:hint="eastAsia" w:ascii="微软雅黑" w:hAnsi="微软雅黑" w:eastAsia="微软雅黑" w:cs="微软雅黑"/>
      <w:color w:val="000000"/>
      <w:sz w:val="20"/>
      <w:szCs w:val="20"/>
      <w:u w:val="none"/>
    </w:rPr>
  </w:style>
  <w:style w:type="character" w:customStyle="1" w:styleId="11">
    <w:name w:val="font81"/>
    <w:basedOn w:val="8"/>
    <w:qFormat/>
    <w:uiPriority w:val="0"/>
    <w:rPr>
      <w:rFonts w:hint="eastAsia" w:ascii="微软雅黑" w:hAnsi="微软雅黑" w:eastAsia="微软雅黑" w:cs="微软雅黑"/>
      <w:color w:val="000000"/>
      <w:sz w:val="20"/>
      <w:szCs w:val="20"/>
      <w:u w:val="none"/>
    </w:rPr>
  </w:style>
  <w:style w:type="character" w:customStyle="1" w:styleId="12">
    <w:name w:val="font61"/>
    <w:basedOn w:val="8"/>
    <w:qFormat/>
    <w:uiPriority w:val="0"/>
    <w:rPr>
      <w:rFonts w:hint="eastAsia" w:ascii="微软雅黑" w:hAnsi="微软雅黑" w:eastAsia="微软雅黑" w:cs="微软雅黑"/>
      <w:color w:val="000000"/>
      <w:sz w:val="22"/>
      <w:szCs w:val="22"/>
      <w:u w:val="none"/>
    </w:rPr>
  </w:style>
  <w:style w:type="character" w:customStyle="1" w:styleId="13">
    <w:name w:val="font91"/>
    <w:basedOn w:val="8"/>
    <w:qFormat/>
    <w:uiPriority w:val="0"/>
    <w:rPr>
      <w:rFonts w:hint="eastAsia" w:ascii="宋体" w:hAnsi="宋体" w:eastAsia="宋体" w:cs="宋体"/>
      <w:color w:val="000000"/>
      <w:sz w:val="18"/>
      <w:szCs w:val="18"/>
      <w:u w:val="none"/>
    </w:rPr>
  </w:style>
  <w:style w:type="character" w:customStyle="1" w:styleId="14">
    <w:name w:val="font101"/>
    <w:basedOn w:val="8"/>
    <w:qFormat/>
    <w:uiPriority w:val="0"/>
    <w:rPr>
      <w:rFonts w:hint="eastAsia" w:ascii="宋体" w:hAnsi="宋体" w:eastAsia="宋体" w:cs="宋体"/>
      <w:color w:val="000000"/>
      <w:sz w:val="16"/>
      <w:szCs w:val="16"/>
      <w:u w:val="none"/>
    </w:rPr>
  </w:style>
  <w:style w:type="character" w:customStyle="1" w:styleId="15">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2022-07-13T03:05:00Z</dcterms:created>
  <dc:creator>idiot</dc:creator>
  <cp:lastModifiedBy>idiot</cp:lastModifiedBy>
  <dcterms:modified xsi:type="dcterms:W3CDTF">2022-07-13T03:05:31Z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3F63D7EACEC945948BB5811FD9E3B5D0</vt:lpwstr>
  </property>
</Properties>
</file>